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27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Павлова Татьяна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1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89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bookmarkStart w:id="35" w:name="установка-texliv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</w:t>
      </w:r>
    </w:p>
    <w:p>
      <w:pPr>
        <w:pStyle w:val="FirstParagraph"/>
      </w:pPr>
      <w:r>
        <w:t xml:space="preserve">Скачала TexLive с официального сайта. Распаковываю архив. (рис. 1)</w:t>
      </w:r>
    </w:p>
    <w:bookmarkStart w:id="26" w:name="fig:001"/>
    <w:p>
      <w:pPr>
        <w:pStyle w:val="CaptionedFigure"/>
      </w:pPr>
      <w:r>
        <w:drawing>
          <wp:inline>
            <wp:extent cx="3733800" cy="1635404"/>
            <wp:effectExtent b="0" l="0" r="0" t="0"/>
            <wp:docPr descr="Рис. 1: (Рис. 1)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(Рис. 1)</w:t>
      </w:r>
    </w:p>
    <w:bookmarkEnd w:id="26"/>
    <w:p>
      <w:pPr>
        <w:pStyle w:val="BodyText"/>
      </w:pPr>
      <w:r>
        <w:t xml:space="preserve">Перехожу в распакованную папку с помощью cd. Запускаю скрипт install-tl-* с правами root, используя sudo в начале команды. (рис. 2)</w:t>
      </w:r>
    </w:p>
    <w:bookmarkStart w:id="30" w:name="fig:002"/>
    <w:p>
      <w:pPr>
        <w:pStyle w:val="CaptionedFigure"/>
      </w:pPr>
      <w:r>
        <w:drawing>
          <wp:inline>
            <wp:extent cx="3733800" cy="1080836"/>
            <wp:effectExtent b="0" l="0" r="0" t="0"/>
            <wp:docPr descr="Рис. 2: (Рис. 2)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(Рис. 2)</w:t>
      </w:r>
    </w:p>
    <w:bookmarkEnd w:id="30"/>
    <w:p>
      <w:pPr>
        <w:pStyle w:val="BodyText"/>
      </w:pPr>
      <w:r>
        <w:t xml:space="preserve">Добавляю /usr/local/texlive/2024/bin/x86_64-linux в свой PATH для текущей и будущих сессий. (рис. 3)</w:t>
      </w:r>
    </w:p>
    <w:bookmarkStart w:id="34" w:name="fig:003"/>
    <w:p>
      <w:pPr>
        <w:pStyle w:val="CaptionedFigure"/>
      </w:pPr>
      <w:r>
        <w:drawing>
          <wp:inline>
            <wp:extent cx="3733800" cy="117453"/>
            <wp:effectExtent b="0" l="0" r="0" t="0"/>
            <wp:docPr descr="Рис. 3: (Рис. 3)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(Рис. 3)</w:t>
      </w:r>
    </w:p>
    <w:bookmarkEnd w:id="34"/>
    <w:bookmarkEnd w:id="35"/>
    <w:bookmarkStart w:id="88" w:name="установка-pandoc-и-pandoc-crossref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Установка pandoc и pandoc-crossref</w:t>
      </w:r>
    </w:p>
    <w:p>
      <w:pPr>
        <w:pStyle w:val="FirstParagraph"/>
      </w:pPr>
      <w:r>
        <w:t xml:space="preserve">Скачиваю архив pandoc версии 3.4. (рис. 4)</w:t>
      </w:r>
    </w:p>
    <w:bookmarkStart w:id="39" w:name="fig:004"/>
    <w:p>
      <w:pPr>
        <w:pStyle w:val="CaptionedFigure"/>
      </w:pPr>
      <w:r>
        <w:drawing>
          <wp:inline>
            <wp:extent cx="3733800" cy="317133"/>
            <wp:effectExtent b="0" l="0" r="0" t="0"/>
            <wp:docPr descr="Рис. 4: (Рис. 4)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(Рис. 4)</w:t>
      </w:r>
    </w:p>
    <w:bookmarkEnd w:id="39"/>
    <w:p>
      <w:pPr>
        <w:pStyle w:val="BodyText"/>
      </w:pPr>
      <w:r>
        <w:t xml:space="preserve">Скачиваю архив pandoc-crossref 0.3.18.0. (рис. 5)</w:t>
      </w:r>
    </w:p>
    <w:bookmarkStart w:id="43" w:name="fig:005"/>
    <w:p>
      <w:pPr>
        <w:pStyle w:val="CaptionedFigure"/>
      </w:pPr>
      <w:r>
        <w:drawing>
          <wp:inline>
            <wp:extent cx="3733800" cy="269264"/>
            <wp:effectExtent b="0" l="0" r="0" t="0"/>
            <wp:docPr descr="Рис. 5: (Рис. 5)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(Рис. 5)</w:t>
      </w:r>
    </w:p>
    <w:bookmarkEnd w:id="43"/>
    <w:p>
      <w:pPr>
        <w:pStyle w:val="BodyText"/>
      </w:pPr>
      <w:r>
        <w:t xml:space="preserve">Распаковываю скачанные архивы. (рис. 6)</w:t>
      </w:r>
    </w:p>
    <w:bookmarkStart w:id="47" w:name="fig:006"/>
    <w:p>
      <w:pPr>
        <w:pStyle w:val="CaptionedFigure"/>
      </w:pPr>
      <w:r>
        <w:drawing>
          <wp:inline>
            <wp:extent cx="3733800" cy="299182"/>
            <wp:effectExtent b="0" l="0" r="0" t="0"/>
            <wp:docPr descr="Рис. 6: (Рис. 6)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(Рис. 6)</w:t>
      </w:r>
    </w:p>
    <w:bookmarkEnd w:id="47"/>
    <w:p>
      <w:pPr>
        <w:pStyle w:val="BodyText"/>
      </w:pPr>
      <w:r>
        <w:t xml:space="preserve">Копирую файлы pandoc и pandoc-crossref в каталог /usr/local/bin/ с правами пользователя root с помощью sudo. (рис. 7)</w:t>
      </w:r>
    </w:p>
    <w:bookmarkStart w:id="51" w:name="fig:007"/>
    <w:p>
      <w:pPr>
        <w:pStyle w:val="CaptionedFigure"/>
      </w:pPr>
      <w:r>
        <w:drawing>
          <wp:inline>
            <wp:extent cx="3733800" cy="382953"/>
            <wp:effectExtent b="0" l="0" r="0" t="0"/>
            <wp:docPr descr="Рис. 7: (Рис. 7)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(Рис. 7)</w:t>
      </w:r>
    </w:p>
    <w:bookmarkEnd w:id="51"/>
    <w:p>
      <w:pPr>
        <w:pStyle w:val="BodyText"/>
      </w:pPr>
      <w:r>
        <w:t xml:space="preserve">Проверяю корректность выполненных действий (рис. 8)</w:t>
      </w:r>
    </w:p>
    <w:bookmarkStart w:id="55" w:name="fig:008"/>
    <w:p>
      <w:pPr>
        <w:pStyle w:val="CaptionedFigure"/>
      </w:pPr>
      <w:r>
        <w:drawing>
          <wp:inline>
            <wp:extent cx="3733800" cy="388263"/>
            <wp:effectExtent b="0" l="0" r="0" t="0"/>
            <wp:docPr descr="Рис. 8: (Рис. 8)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(Рис. 8)</w:t>
      </w:r>
    </w:p>
    <w:bookmarkEnd w:id="55"/>
    <w:p>
      <w:pPr>
        <w:pStyle w:val="BodyText"/>
      </w:pPr>
      <w:r>
        <w:t xml:space="preserve">###Выполнение лабораторной работы</w:t>
      </w:r>
    </w:p>
    <w:p>
      <w:pPr>
        <w:pStyle w:val="BodyText"/>
      </w:pPr>
      <w:r>
        <w:t xml:space="preserve">Откройте терминал.</w:t>
      </w:r>
      <w:r>
        <w:t xml:space="preserve"> </w:t>
      </w:r>
      <w:r>
        <w:t xml:space="preserve">Перейдите в каталог курса сформированный при выполнении лабораторной работы №2</w:t>
      </w:r>
      <w:r>
        <w:t xml:space="preserve"> </w:t>
      </w:r>
      <w:r>
        <w:t xml:space="preserve">Обновите локальный репозиторий, скачав изменения из удаленного репозитория с помощью команды. (рис. 9)</w:t>
      </w:r>
    </w:p>
    <w:bookmarkStart w:id="59" w:name="fig:009"/>
    <w:p>
      <w:pPr>
        <w:pStyle w:val="CaptionedFigure"/>
      </w:pPr>
      <w:r>
        <w:drawing>
          <wp:inline>
            <wp:extent cx="3733800" cy="1100992"/>
            <wp:effectExtent b="0" l="0" r="0" t="0"/>
            <wp:docPr descr="Рис. 9: (Рис. 9)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(Рис. 9)</w:t>
      </w:r>
    </w:p>
    <w:bookmarkEnd w:id="59"/>
    <w:p>
      <w:pPr>
        <w:pStyle w:val="BodyText"/>
      </w:pPr>
      <w:r>
        <w:t xml:space="preserve">Перейдите в каталог с шаблоном отчета по лабораторной работе № 3 Проведите компиляцию шаблона с использованием Makefile. Для этого введите команду make. (рис. 10)</w:t>
      </w:r>
    </w:p>
    <w:bookmarkStart w:id="63" w:name="fig:010"/>
    <w:p>
      <w:pPr>
        <w:pStyle w:val="CaptionedFigure"/>
      </w:pPr>
      <w:r>
        <w:drawing>
          <wp:inline>
            <wp:extent cx="3733800" cy="299182"/>
            <wp:effectExtent b="0" l="0" r="0" t="0"/>
            <wp:docPr descr="Рис. 10: (Рис. 10)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(Рис. 10)</w:t>
      </w:r>
    </w:p>
    <w:bookmarkEnd w:id="63"/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 (рис. 11)</w:t>
      </w:r>
    </w:p>
    <w:bookmarkStart w:id="67" w:name="fig:011"/>
    <w:p>
      <w:pPr>
        <w:pStyle w:val="CaptionedFigure"/>
      </w:pPr>
      <w:r>
        <w:drawing>
          <wp:inline>
            <wp:extent cx="3733800" cy="2090253"/>
            <wp:effectExtent b="0" l="0" r="0" t="0"/>
            <wp:docPr descr="Рис. 11: (Рис. 11)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(Рис. 11)</w:t>
      </w:r>
    </w:p>
    <w:bookmarkEnd w:id="67"/>
    <w:p>
      <w:pPr>
        <w:pStyle w:val="BodyText"/>
      </w:pPr>
      <w:r>
        <w:t xml:space="preserve">(рис. 12)</w:t>
      </w:r>
    </w:p>
    <w:bookmarkStart w:id="71" w:name="fig:012"/>
    <w:p>
      <w:pPr>
        <w:pStyle w:val="CaptionedFigure"/>
      </w:pPr>
      <w:r>
        <w:drawing>
          <wp:inline>
            <wp:extent cx="3733800" cy="2550730"/>
            <wp:effectExtent b="0" l="0" r="0" t="0"/>
            <wp:docPr descr="Рис. 12: (Рис. 12)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(Рис. 12)</w:t>
      </w:r>
    </w:p>
    <w:bookmarkEnd w:id="71"/>
    <w:p>
      <w:pPr>
        <w:pStyle w:val="BodyText"/>
      </w:pPr>
      <w:r>
        <w:t xml:space="preserve">Удалите полученные файлы с использованием Makefile, введя команду make clean. С помощью команды ls проверьте, удалились ли созданные файлы. (рис. 13)</w:t>
      </w:r>
    </w:p>
    <w:bookmarkStart w:id="75" w:name="fig:013"/>
    <w:p>
      <w:pPr>
        <w:pStyle w:val="CaptionedFigure"/>
      </w:pPr>
      <w:r>
        <w:drawing>
          <wp:inline>
            <wp:extent cx="3733800" cy="579615"/>
            <wp:effectExtent b="0" l="0" r="0" t="0"/>
            <wp:docPr descr="Рис. 13: (Рис. 13)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(Рис. 13)</w:t>
      </w:r>
    </w:p>
    <w:bookmarkEnd w:id="75"/>
    <w:p>
      <w:pPr>
        <w:pStyle w:val="BodyText"/>
      </w:pPr>
      <w:r>
        <w:t xml:space="preserve">Откройте файл report.md с помощью любого текстового редактора mousepad. (рис. 14)</w:t>
      </w:r>
    </w:p>
    <w:bookmarkStart w:id="79" w:name="fig:014"/>
    <w:p>
      <w:pPr>
        <w:pStyle w:val="CaptionedFigure"/>
      </w:pPr>
      <w:r>
        <w:drawing>
          <wp:inline>
            <wp:extent cx="2627696" cy="2454442"/>
            <wp:effectExtent b="0" l="0" r="0" t="0"/>
            <wp:docPr descr="Рис. 14: (Рис. 14)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(Рис. 14)</w:t>
      </w:r>
    </w:p>
    <w:bookmarkEnd w:id="79"/>
    <w:p>
      <w:pPr>
        <w:pStyle w:val="BodyText"/>
      </w:pPr>
      <w:r>
        <w:t xml:space="preserve">Чтобы на всякий случай сохранился шаблон отчета, скопируйте файл с новым названием с помощью утилиты cp. (рис. 15)</w:t>
      </w:r>
    </w:p>
    <w:bookmarkStart w:id="83" w:name="fig:015"/>
    <w:p>
      <w:pPr>
        <w:pStyle w:val="CaptionedFigure"/>
      </w:pPr>
      <w:r>
        <w:drawing>
          <wp:inline>
            <wp:extent cx="3733800" cy="245329"/>
            <wp:effectExtent b="0" l="0" r="0" t="0"/>
            <wp:docPr descr="Рис. 15: (Рис. 15)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(Рис. 15)</w:t>
      </w:r>
    </w:p>
    <w:bookmarkEnd w:id="83"/>
    <w:p>
      <w:pPr>
        <w:pStyle w:val="BodyText"/>
      </w:pPr>
      <w:r>
        <w:t xml:space="preserve">Начните заполнять отчет с помощью языка разметки Markdown в скопированном файле. (рис. 16)</w:t>
      </w:r>
    </w:p>
    <w:bookmarkStart w:id="87" w:name="fig:016"/>
    <w:p>
      <w:pPr>
        <w:pStyle w:val="CaptionedFigure"/>
      </w:pPr>
      <w:r>
        <w:drawing>
          <wp:inline>
            <wp:extent cx="3522846" cy="2791326"/>
            <wp:effectExtent b="0" l="0" r="0" t="0"/>
            <wp:docPr descr="Рис. 16: (Рис. 16)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(Рис. 16)</w:t>
      </w:r>
    </w:p>
    <w:bookmarkEnd w:id="87"/>
    <w:bookmarkEnd w:id="88"/>
    <w:bookmarkEnd w:id="89"/>
    <w:bookmarkStart w:id="122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В соответствующем каталоге сделайте отчёт по лабораторной работе № 2 в формате Markdown. В качестве отчёта необходимо предоставить отчёты в 3 форматах: pdf, docx и md.</w:t>
      </w:r>
    </w:p>
    <w:p>
      <w:pPr>
        <w:pStyle w:val="FirstParagraph"/>
      </w:pPr>
      <w:r>
        <w:t xml:space="preserve">Перехожу в директорию lab02/report с помощью cd, чтобы там заполнять отчет по третьей лабораторной работе. (рис. 17)</w:t>
      </w:r>
    </w:p>
    <w:bookmarkStart w:id="93" w:name="fig:017"/>
    <w:p>
      <w:pPr>
        <w:pStyle w:val="CaptionedFigure"/>
      </w:pPr>
      <w:r>
        <w:drawing>
          <wp:inline>
            <wp:extent cx="3733800" cy="274200"/>
            <wp:effectExtent b="0" l="0" r="0" t="0"/>
            <wp:docPr descr="Рис. 17: (Рис. 17)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(Рис. 17)</w:t>
      </w:r>
    </w:p>
    <w:bookmarkEnd w:id="93"/>
    <w:p>
      <w:pPr>
        <w:pStyle w:val="BodyText"/>
      </w:pPr>
      <w:r>
        <w:t xml:space="preserve">Копирую файл report.md с новым именем для заполнения отчета. (рис. 18)</w:t>
      </w:r>
    </w:p>
    <w:bookmarkStart w:id="97" w:name="fig:018"/>
    <w:p>
      <w:pPr>
        <w:pStyle w:val="CaptionedFigure"/>
      </w:pPr>
      <w:r>
        <w:drawing>
          <wp:inline>
            <wp:extent cx="3733800" cy="204192"/>
            <wp:effectExtent b="0" l="0" r="0" t="0"/>
            <wp:docPr descr="Рис. 18: (Рис. 18)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(Рис. 18)</w:t>
      </w:r>
    </w:p>
    <w:bookmarkEnd w:id="97"/>
    <w:p>
      <w:pPr>
        <w:pStyle w:val="BodyText"/>
      </w:pPr>
      <w:r>
        <w:t xml:space="preserve">Открываю файл с помощью текстового редактора mousepad и начинаю заполнять отчет. (рис. 19)</w:t>
      </w:r>
    </w:p>
    <w:bookmarkStart w:id="101" w:name="fig:019"/>
    <w:p>
      <w:pPr>
        <w:pStyle w:val="CaptionedFigure"/>
      </w:pPr>
      <w:r>
        <w:drawing>
          <wp:inline>
            <wp:extent cx="3733800" cy="4061590"/>
            <wp:effectExtent b="0" l="0" r="0" t="0"/>
            <wp:docPr descr="Рис. 19: (Рис. 19)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(Рис. 19)</w:t>
      </w:r>
    </w:p>
    <w:bookmarkEnd w:id="101"/>
    <w:p>
      <w:pPr>
        <w:pStyle w:val="BodyText"/>
      </w:pPr>
      <w:r>
        <w:t xml:space="preserve">Удаляю предыдущий файл отчета, чтобы при компиляции он мне не мешал. (рис. 20)</w:t>
      </w:r>
    </w:p>
    <w:bookmarkStart w:id="105" w:name="fig:020"/>
    <w:p>
      <w:pPr>
        <w:pStyle w:val="CaptionedFigure"/>
      </w:pPr>
      <w:r>
        <w:drawing>
          <wp:inline>
            <wp:extent cx="3733800" cy="245030"/>
            <wp:effectExtent b="0" l="0" r="0" t="0"/>
            <wp:docPr descr="Рис. 20: (Рис. 20)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(Рис. 20)</w:t>
      </w:r>
    </w:p>
    <w:bookmarkEnd w:id="105"/>
    <w:p>
      <w:pPr>
        <w:pStyle w:val="BodyText"/>
      </w:pPr>
      <w:r>
        <w:t xml:space="preserve">Компилирую файл с отчетом по лабораторной работе. (рис. 21)</w:t>
      </w:r>
    </w:p>
    <w:bookmarkStart w:id="109" w:name="fig:021"/>
    <w:p>
      <w:pPr>
        <w:pStyle w:val="CaptionedFigure"/>
      </w:pPr>
      <w:r>
        <w:drawing>
          <wp:inline>
            <wp:extent cx="3733800" cy="341292"/>
            <wp:effectExtent b="0" l="0" r="0" t="0"/>
            <wp:docPr descr="Рис. 21: (Рис. 21)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(Рис. 21)</w:t>
      </w:r>
    </w:p>
    <w:bookmarkEnd w:id="109"/>
    <w:p>
      <w:pPr>
        <w:pStyle w:val="Compact"/>
        <w:numPr>
          <w:ilvl w:val="0"/>
          <w:numId w:val="1003"/>
        </w:numPr>
      </w:pPr>
      <w:r>
        <w:t xml:space="preserve">Загрузите файлы на github</w:t>
      </w:r>
    </w:p>
    <w:p>
      <w:pPr>
        <w:pStyle w:val="FirstParagraph"/>
      </w:pPr>
      <w:r>
        <w:t xml:space="preserve">Удаляю лишние сгенерированные файлы report.docx и report.pdf (рис. 22)</w:t>
      </w:r>
    </w:p>
    <w:bookmarkStart w:id="113" w:name="fig:022"/>
    <w:p>
      <w:pPr>
        <w:pStyle w:val="CaptionedFigure"/>
      </w:pPr>
      <w:r>
        <w:drawing>
          <wp:inline>
            <wp:extent cx="3733800" cy="224611"/>
            <wp:effectExtent b="0" l="0" r="0" t="0"/>
            <wp:docPr descr="Рис. 22: (Рис. 22)" title="" id="111" name="Picture"/>
            <a:graphic>
              <a:graphicData uri="http://schemas.openxmlformats.org/drawingml/2006/picture">
                <pic:pic>
                  <pic:nvPicPr>
                    <pic:cNvPr descr="image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(Рис. 22)</w:t>
      </w:r>
    </w:p>
    <w:bookmarkEnd w:id="113"/>
    <w:p>
      <w:pPr>
        <w:pStyle w:val="BodyText"/>
      </w:pPr>
      <w:r>
        <w:t xml:space="preserve">Добавляю изменения на GitHub с помощью командой git add и сохраняю изменения с помощью commit (рис. 23)</w:t>
      </w:r>
    </w:p>
    <w:bookmarkStart w:id="117" w:name="fig:023"/>
    <w:p>
      <w:pPr>
        <w:pStyle w:val="CaptionedFigure"/>
      </w:pPr>
      <w:r>
        <w:drawing>
          <wp:inline>
            <wp:extent cx="3733800" cy="647580"/>
            <wp:effectExtent b="0" l="0" r="0" t="0"/>
            <wp:docPr descr="Рис. 23: (Рис. 23)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(Рис. 23)</w:t>
      </w:r>
    </w:p>
    <w:bookmarkEnd w:id="117"/>
    <w:p>
      <w:pPr>
        <w:pStyle w:val="BodyText"/>
      </w:pPr>
      <w:r>
        <w:t xml:space="preserve">Отправляю файлы на сервер с помощью команды git push (рис. 24)</w:t>
      </w:r>
    </w:p>
    <w:bookmarkStart w:id="121" w:name="fig:024"/>
    <w:p>
      <w:pPr>
        <w:pStyle w:val="CaptionedFigure"/>
      </w:pPr>
      <w:r>
        <w:drawing>
          <wp:inline>
            <wp:extent cx="3733800" cy="729257"/>
            <wp:effectExtent b="0" l="0" r="0" t="0"/>
            <wp:docPr descr="Рис. 24: (Рис. 24)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(Рис. 24)</w:t>
      </w:r>
    </w:p>
    <w:bookmarkEnd w:id="121"/>
    <w:bookmarkEnd w:id="122"/>
    <w:bookmarkEnd w:id="123"/>
    <w:bookmarkStart w:id="1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124"/>
    <w:bookmarkStart w:id="12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4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4"/>
        </w:numPr>
      </w:pPr>
      <w:r>
        <w:t xml:space="preserve">Midnight Commander Development Center. — 2021. — URL: https://midnight-commander. org/.</w:t>
      </w:r>
    </w:p>
    <w:p>
      <w:pPr>
        <w:pStyle w:val="Compact"/>
        <w:numPr>
          <w:ilvl w:val="0"/>
          <w:numId w:val="1004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4"/>
        </w:numPr>
      </w:pPr>
      <w:r>
        <w:t xml:space="preserve">Newham C. Learning the bash Shell: Unix Shell Programming. — O’Reilly Media, 2005. — 354 с. — (In a Nutshell). — ISBN 0596009658. — URL: http://www.amazon.com/Learningbash-Shell-Programming-Nutshell/dp/0596009658.</w:t>
      </w:r>
    </w:p>
    <w:p>
      <w:pPr>
        <w:pStyle w:val="Compact"/>
        <w:numPr>
          <w:ilvl w:val="0"/>
          <w:numId w:val="1004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4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4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4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4"/>
        </w:numPr>
      </w:pPr>
      <w:r>
        <w:t xml:space="preserve">Куляс О. Л., Никитин К. А. Курс программирования на ASSEMBLER. — М. : Солон-Пресс, 2017.</w:t>
      </w:r>
    </w:p>
    <w:p>
      <w:pPr>
        <w:pStyle w:val="Compact"/>
        <w:numPr>
          <w:ilvl w:val="0"/>
          <w:numId w:val="1004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4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4"/>
        </w:numPr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pStyle w:val="Compact"/>
        <w:numPr>
          <w:ilvl w:val="0"/>
          <w:numId w:val="1004"/>
        </w:numPr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pStyle w:val="Compact"/>
        <w:numPr>
          <w:ilvl w:val="0"/>
          <w:numId w:val="1004"/>
        </w:numPr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pStyle w:val="Compact"/>
        <w:numPr>
          <w:ilvl w:val="0"/>
          <w:numId w:val="1004"/>
        </w:numPr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p>
      <w:pPr>
        <w:pStyle w:val="Compact"/>
        <w:numPr>
          <w:ilvl w:val="0"/>
          <w:numId w:val="1004"/>
        </w:numPr>
      </w:pPr>
      <w:r>
        <w:t xml:space="preserve">Архитектура ЭВМ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7" Target="media/rId27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Павлова Татьяна Юрьевна</dc:creator>
  <dc:language>ru-RU</dc:language>
  <cp:keywords/>
  <dcterms:created xsi:type="dcterms:W3CDTF">2024-12-08T18:07:59Z</dcterms:created>
  <dcterms:modified xsi:type="dcterms:W3CDTF">2024-12-08T18:07:59Z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