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операционной системой Linux, а также получение практические навыков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Открыть emacs.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pStyle w:val="Compact"/>
        <w:numPr>
          <w:ilvl w:val="0"/>
          <w:numId w:val="1001"/>
        </w:numPr>
      </w:pPr>
      <w:r>
        <w:t xml:space="preserve">Наберите текст</w:t>
      </w:r>
    </w:p>
    <w:p>
      <w:pPr>
        <w:pStyle w:val="Compact"/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pStyle w:val="Compact"/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ompact"/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pStyle w:val="Compact"/>
        <w:numPr>
          <w:ilvl w:val="0"/>
          <w:numId w:val="1001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Compact"/>
        <w:numPr>
          <w:ilvl w:val="0"/>
          <w:numId w:val="1001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pStyle w:val="Compact"/>
        <w:numPr>
          <w:ilvl w:val="0"/>
          <w:numId w:val="1001"/>
        </w:numPr>
      </w:pPr>
      <w:r>
        <w:t xml:space="preserve">Режим поиска</w:t>
      </w:r>
      <w:r>
        <w:t xml:space="preserve"> </w:t>
      </w:r>
      <w:r>
        <w:t xml:space="preserve">9.1.Переключитесь врежимпоиска (C-s) инайдитенесколько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термины Emacs</w:t>
      </w:r>
      <w:r>
        <w:t xml:space="preserve"> </w:t>
      </w:r>
      <w:r>
        <w:t xml:space="preserve">Определение 1</w:t>
      </w:r>
      <w:r>
        <w:t xml:space="preserve"> </w:t>
      </w:r>
      <w:r>
        <w:t xml:space="preserve">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Определение 2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илинесколько окон Emacs.</w:t>
      </w:r>
      <w:r>
        <w:t xml:space="preserve"> </w:t>
      </w:r>
      <w:r>
        <w:t xml:space="preserve">Определение 3</w:t>
      </w:r>
      <w:r>
        <w:t xml:space="preserve"> </w:t>
      </w:r>
      <w:r>
        <w:t xml:space="preserve">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</w:t>
      </w:r>
      <w:r>
        <w:t xml:space="preserve"> </w:t>
      </w:r>
      <w:r>
        <w:t xml:space="preserve">Существующие основные режимы включают режим Fundamental (наименее специализированный), режим</w:t>
      </w:r>
      <w:r>
        <w:t xml:space="preserve"> </w:t>
      </w:r>
      <w:r>
        <w:t xml:space="preserve">Text, режим Lisp, режим С, режим Texinfo и другие. Под второстепенными режимами понимается список режимов, которые вклю- чены в данный момент в буфере выбранного окна.</w:t>
      </w:r>
      <w:r>
        <w:t xml:space="preserve"> </w:t>
      </w:r>
      <w:r>
        <w:t xml:space="preserve">Определение 4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дополни- тельную информацию от пользователя.</w:t>
      </w:r>
      <w:r>
        <w:t xml:space="preserve"> </w:t>
      </w:r>
      <w:r>
        <w:t xml:space="preserve">Определение 5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emacs (рис. 1).</w:t>
      </w:r>
    </w:p>
    <w:p>
      <w:pPr>
        <w:pStyle w:val="CaptionedFigure"/>
      </w:pPr>
      <w:r>
        <w:drawing>
          <wp:inline>
            <wp:extent cx="3733800" cy="1989415"/>
            <wp:effectExtent b="0" l="0" r="0" t="0"/>
            <wp:docPr descr="Открытый emac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emacs</w:t>
      </w:r>
    </w:p>
    <w:p>
      <w:pPr>
        <w:pStyle w:val="BodyText"/>
      </w:pPr>
      <w:r>
        <w:t xml:space="preserve">Создать файл lab07.sh с помощью комбинации Ctrl-x Ctrl-f (C-x C-f). Наберите текст (рис. 2).</w:t>
      </w:r>
    </w:p>
    <w:p>
      <w:pPr>
        <w:pStyle w:val="CaptionedFigure"/>
      </w:pPr>
      <w:r>
        <w:drawing>
          <wp:inline>
            <wp:extent cx="3733800" cy="2421747"/>
            <wp:effectExtent b="0" l="0" r="0" t="0"/>
            <wp:docPr descr="lab07.sh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lab07.sh</w:t>
      </w:r>
    </w:p>
    <w:p>
      <w:pPr>
        <w:pStyle w:val="BodyText"/>
      </w:pPr>
      <w:r>
        <w:t xml:space="preserve">Сохранить файл с помощью комбинации Ctrl-x Ctrl-s (C-x C-s) (рис. 3).</w:t>
      </w:r>
    </w:p>
    <w:p>
      <w:pPr>
        <w:pStyle w:val="CaptionedFigure"/>
      </w:pPr>
      <w:r>
        <w:drawing>
          <wp:inline>
            <wp:extent cx="3733800" cy="743237"/>
            <wp:effectExtent b="0" l="0" r="0" t="0"/>
            <wp:docPr descr="Сохране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  <w:r>
        <w:t xml:space="preserve"> </w:t>
      </w:r>
      <w:r>
        <w:t xml:space="preserve">Проделать с текстом стандартные процедуры редактирования, каждое дейтвие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 (рис. 4), (рис. 5), (рис. 6), (рис. 7), (рис. 8), (рис. 9).</w:t>
      </w:r>
    </w:p>
    <w:p>
      <w:pPr>
        <w:pStyle w:val="CaptionedFigure"/>
      </w:pPr>
      <w:r>
        <w:drawing>
          <wp:inline>
            <wp:extent cx="3733800" cy="3079764"/>
            <wp:effectExtent b="0" l="0" r="0" t="0"/>
            <wp:docPr descr="Вырезанная строк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Вырезанная строка</w:t>
      </w:r>
    </w:p>
    <w:p>
      <w:pPr>
        <w:pStyle w:val="CaptionedFigure"/>
      </w:pPr>
      <w:r>
        <w:drawing>
          <wp:inline>
            <wp:extent cx="3733800" cy="2552561"/>
            <wp:effectExtent b="0" l="0" r="0" t="0"/>
            <wp:docPr descr="Вставленная строк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Вставленная строка</w:t>
      </w:r>
    </w:p>
    <w:p>
      <w:pPr>
        <w:pStyle w:val="CaptionedFigure"/>
      </w:pPr>
      <w:r>
        <w:drawing>
          <wp:inline>
            <wp:extent cx="3733800" cy="3397025"/>
            <wp:effectExtent b="0" l="0" r="0" t="0"/>
            <wp:docPr descr="Выделенная область текст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Выделенная область текста</w:t>
      </w:r>
    </w:p>
    <w:p>
      <w:pPr>
        <w:pStyle w:val="CaptionedFigure"/>
      </w:pPr>
      <w:r>
        <w:drawing>
          <wp:inline>
            <wp:extent cx="3733800" cy="1292965"/>
            <wp:effectExtent b="0" l="0" r="0" t="0"/>
            <wp:docPr descr="Вырезанная область текст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Вырезанная область текста</w:t>
      </w:r>
    </w:p>
    <w:p>
      <w:pPr>
        <w:pStyle w:val="CaptionedFigure"/>
      </w:pPr>
      <w:r>
        <w:drawing>
          <wp:inline>
            <wp:extent cx="3733800" cy="3024768"/>
            <wp:effectExtent b="0" l="0" r="0" t="0"/>
            <wp:docPr descr="Отмена действий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действий</w:t>
      </w:r>
    </w:p>
    <w:p>
      <w:pPr>
        <w:pStyle w:val="CaptionedFigure"/>
      </w:pPr>
      <w:r>
        <w:drawing>
          <wp:inline>
            <wp:extent cx="3733800" cy="2504835"/>
            <wp:effectExtent b="0" l="0" r="0" t="0"/>
            <wp:docPr descr="Скопированная и вставленная в конец область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Скопированная и вставленная в конец область</w:t>
      </w:r>
    </w:p>
    <w:p>
      <w:pPr>
        <w:pStyle w:val="BodyTex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 (рис. 10), (рис. 11).</w:t>
      </w:r>
    </w:p>
    <w:p>
      <w:pPr>
        <w:pStyle w:val="CaptionedFigure"/>
      </w:pPr>
      <w:r>
        <w:drawing>
          <wp:inline>
            <wp:extent cx="3733800" cy="2739736"/>
            <wp:effectExtent b="0" l="0" r="0" t="0"/>
            <wp:docPr descr="Курсор в начале строки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Курсор в начале строки</w:t>
      </w:r>
    </w:p>
    <w:p>
      <w:pPr>
        <w:pStyle w:val="CaptionedFigure"/>
      </w:pPr>
      <w:r>
        <w:drawing>
          <wp:inline>
            <wp:extent cx="3733800" cy="3077779"/>
            <wp:effectExtent b="0" l="0" r="0" t="0"/>
            <wp:docPr descr="Курсор в конце строки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в конце строки</w:t>
      </w:r>
    </w:p>
    <w:p>
      <w:pPr>
        <w:pStyle w:val="BodyTex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 (рис. 12), (рис. 13).</w:t>
      </w:r>
    </w:p>
    <w:p>
      <w:pPr>
        <w:pStyle w:val="CaptionedFigure"/>
      </w:pPr>
      <w:r>
        <w:drawing>
          <wp:inline>
            <wp:extent cx="3733800" cy="1828978"/>
            <wp:effectExtent b="0" l="0" r="0" t="0"/>
            <wp:docPr descr="Список буферов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Список буферов</w:t>
      </w:r>
    </w:p>
    <w:p>
      <w:pPr>
        <w:pStyle w:val="CaptionedFigure"/>
      </w:pPr>
      <w:r>
        <w:drawing>
          <wp:inline>
            <wp:extent cx="3733800" cy="2211109"/>
            <wp:effectExtent b="0" l="0" r="0" t="0"/>
            <wp:docPr descr="Переключение на другой буфер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Переключение на другой буфер</w:t>
      </w:r>
    </w:p>
    <w:p>
      <w:pPr>
        <w:pStyle w:val="BodyTex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 (рис. 14).</w:t>
      </w:r>
    </w:p>
    <w:p>
      <w:pPr>
        <w:pStyle w:val="CaptionedFigure"/>
      </w:pPr>
      <w:r>
        <w:drawing>
          <wp:inline>
            <wp:extent cx="3733800" cy="2219860"/>
            <wp:effectExtent b="0" l="0" r="0" t="0"/>
            <wp:docPr descr="Фрейм, поделенный на 4 части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Фрейм, поделенный на 4 части</w:t>
      </w:r>
    </w:p>
    <w:p>
      <w:pPr>
        <w:pStyle w:val="BodyText"/>
      </w:pPr>
      <w:r>
        <w:t xml:space="preserve">Режим поиска</w:t>
      </w:r>
      <w:r>
        <w:t xml:space="preserve"> </w:t>
      </w:r>
      <w:r>
        <w:t xml:space="preserve">9.1.Переключитесь врежимпоиска (C-s) инайдитенесколько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 (рис. 15), (рис. 16).</w:t>
      </w:r>
    </w:p>
    <w:p>
      <w:pPr>
        <w:pStyle w:val="CaptionedFigure"/>
      </w:pPr>
      <w:r>
        <w:drawing>
          <wp:inline>
            <wp:extent cx="3733800" cy="4273969"/>
            <wp:effectExtent b="0" l="0" r="0" t="0"/>
            <wp:docPr descr="Режим поиска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Режим поиска</w:t>
      </w:r>
    </w:p>
    <w:p>
      <w:pPr>
        <w:pStyle w:val="CaptionedFigure"/>
      </w:pPr>
      <w:r>
        <w:drawing>
          <wp:inline>
            <wp:extent cx="3733800" cy="2908808"/>
            <wp:effectExtent b="0" l="0" r="0" t="0"/>
            <wp:docPr descr="Переключение между результатами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Переключение между результатами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ознакомлилась с операционной системой Linux, а также получила практические навыки работы с редактором Emacs.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Павлова Татьяна Юрьевна</dc:creator>
  <dc:language>ru-RU</dc:language>
  <cp:keywords/>
  <dcterms:created xsi:type="dcterms:W3CDTF">2025-08-28T16:11:31Z</dcterms:created>
  <dcterms:modified xsi:type="dcterms:W3CDTF">2025-08-28T16:11:31Z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