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5C8B"/>
          <w:sz w:val="40"/>
          <w:szCs w:val="40"/>
        </w:rPr>
        <w:t xml:space="preserve">SuryaIQ</w:t>
      </w:r>
    </w:p>
    <w:p>
      <w:pPr>
        <w:spacing w:after="120"/>
        <w:jc w:val="center"/>
      </w:pPr>
      <w:r>
        <w:rPr>
          <w:b/>
          <w:bCs/>
          <w:sz w:val="26"/>
          <w:szCs w:val="26"/>
        </w:rPr>
        <w:t xml:space="preserve">Explaining State-Level Variation in PM Surya Ghar Rooftop-Solar Adoption: A Data-Driven Analysis of the Subsidy Paradox</w:t>
      </w:r>
    </w:p>
    <w:p>
      <w:pPr>
        <w:pBdr>
          <w:bottom w:val="single" w:color="1F5C8B" w:sz="6" w:space="8"/>
        </w:pBdr>
        <w:spacing w:after="200"/>
        <w:jc w:val="center"/>
      </w:pPr>
      <w:r>
        <w:rPr>
          <w:color w:val="666666"/>
          <w:sz w:val="18"/>
          <w:szCs w:val="18"/>
        </w:rPr>
        <w:t xml:space="preserve">Research-style capstone report  ·  IEEE / Scopus submission format</w:t>
      </w:r>
    </w:p>
    <w:p>
      <w:pPr>
        <w:pStyle w:val="Heading1"/>
        <w:spacing w:after="100" w:before="240"/>
      </w:pPr>
      <w:r>
        <w:rPr>
          <w:b/>
          <w:bCs/>
          <w:color w:val="1F5C8B"/>
        </w:rPr>
        <w:t xml:space="preserve">Abstract</w:t>
      </w:r>
    </w:p>
    <w:p>
      <w:pPr>
        <w:spacing w:after="120" w:line="276"/>
      </w:pPr>
      <w:r>
        <w:rPr>
          <w:sz w:val="21"/>
          <w:szCs w:val="21"/>
        </w:rPr>
        <w:t xml:space="preserve">PM Surya Ghar: Muft Bijli Yojana has driven rooftop-solar applications past 78 lakh nationally, yet the share of applications converted into completed installations varies sharply by state (1.5%–92.9%). This paper asks whether administrative and physical-resource variables outperform subsidy amount as predictors of this conversion efficiency — a question prior literature frames as a “subsidy paradox.” Using a canonical 36-state panel built from ten individually verified datasets, we compare a two-feature linear model (tariff growth, solar irradiance) against a six-feature RandomForest under Leave-One-Out Cross-Validation. The linear model generalizes better (LOO-CV MAE 0.143 vs. 0.164), and subsidy/tariff level is consistently among the weakest predictors across methods — reproducing the subsidy-paradox finding with more recent, wider-ranging data than prior work. We extend this into a log-linear national installation forecast (3/6/12-month horizons) and a scenario analysis explicit about which of five policy scenarios the collected data can actually support — notably, a subsidy-increase scenario is reported as unsupportable because state-level subsidy top-up data has no centralized source. The analytical layer is exposed through an AI policy assistant (LangChain, LangGraph, Vectorless BM25 retrieval, guardrails, and an evaluation suite) served via FastAPI behind an interactive dashboard. All results are associational, not causal, and are reported with explicit uncertainty and data-freshness caveats.</w:t>
      </w:r>
    </w:p>
    <w:p>
      <w:pPr>
        <w:spacing w:after="160" w:line="276"/>
      </w:pPr>
      <w:r>
        <w:rPr>
          <w:b/>
          <w:bCs/>
          <w:sz w:val="20"/>
          <w:szCs w:val="20"/>
        </w:rPr>
        <w:t xml:space="preserve">Keywords: </w:t>
      </w:r>
      <w:r>
        <w:rPr>
          <w:i/>
          <w:iCs/>
          <w:sz w:val="20"/>
          <w:szCs w:val="20"/>
        </w:rPr>
        <w:t xml:space="preserve">rooftop solar, PM Surya Ghar, subsidy paradox, machine-learning forecasting, policy scenario analysis, India.</w:t>
      </w:r>
    </w:p>
    <w:p>
      <w:pPr>
        <w:pStyle w:val="Heading1"/>
        <w:spacing w:after="100" w:before="240"/>
      </w:pPr>
      <w:r>
        <w:rPr>
          <w:b/>
          <w:bCs/>
          <w:color w:val="1F5C8B"/>
        </w:rPr>
        <w:t xml:space="preserve">1. Introduction</w:t>
      </w:r>
    </w:p>
    <w:p>
      <w:pPr>
        <w:spacing w:after="120" w:line="276"/>
      </w:pPr>
      <w:r>
        <w:rPr>
          <w:sz w:val="21"/>
          <w:szCs w:val="21"/>
        </w:rPr>
        <w:t xml:space="preserve">India's residential rooftop-solar segment has historically lagged its utility-scale counterpart. PM Surya Ghar (launched February 2024, outlay &gt; Rs. 75,000 crore) addresses this with a large upfront capital subsidy and a national portal. Its headline risk is not interest but conversion: nationally, 78+ lakh applications have been filed, but the share converting into completed installations ranges from 1.5% (Arunachal Pradesh) to 92.9% (Mizoram). Uniform subsidy cannot explain this spread.</w:t>
      </w:r>
    </w:p>
    <w:p>
      <w:pPr>
        <w:spacing w:after="120" w:line="276"/>
      </w:pPr>
      <w:r>
        <w:rPr>
          <w:b/>
          <w:bCs/>
          <w:sz w:val="21"/>
          <w:szCs w:val="21"/>
        </w:rPr>
        <w:t xml:space="preserve">Problem statement. </w:t>
      </w:r>
      <w:r>
        <w:rPr>
          <w:sz w:val="21"/>
          <w:szCs w:val="21"/>
        </w:rPr>
        <w:t xml:space="preserve">What explains the variation in PM Surya Ghar conversion across Indian States/UTs, do administrative and physical-resource variables outperform subsidy amount as predictors, and how can near-term adoption be forecast and stress-tested under alternative policy scenarios?</w:t>
      </w:r>
    </w:p>
    <w:p>
      <w:pPr>
        <w:spacing w:after="40" w:line="276"/>
      </w:pPr>
      <w:r>
        <w:rPr>
          <w:b/>
          <w:bCs/>
          <w:sz w:val="21"/>
          <w:szCs w:val="21"/>
        </w:rPr>
        <w:t xml:space="preserve">Contributions.</w:t>
      </w:r>
    </w:p>
    <w:p>
      <w:pPr>
        <w:pStyle w:val="ListParagraph"/>
        <w:numPr>
          <w:ilvl w:val="0"/>
          <w:numId w:val="1"/>
        </w:numPr>
        <w:spacing w:after="60" w:line="268"/>
      </w:pPr>
      <w:r>
        <w:rPr>
          <w:sz w:val="21"/>
          <w:szCs w:val="21"/>
        </w:rPr>
        <w:t xml:space="preserve">A reconciled, reproducible 36-state panel built from ten individually verified official datasets, with explicit cross-source reconciliation.</w:t>
      </w:r>
    </w:p>
    <w:p>
      <w:pPr>
        <w:pStyle w:val="ListParagraph"/>
        <w:numPr>
          <w:ilvl w:val="0"/>
          <w:numId w:val="1"/>
        </w:numPr>
        <w:spacing w:after="60" w:line="268"/>
      </w:pPr>
      <w:r>
        <w:rPr>
          <w:sz w:val="21"/>
          <w:szCs w:val="21"/>
        </w:rPr>
        <w:t xml:space="preserve">An empirically grounded two-feature model that outperforms a more complex six-feature alternative under proper small-sample (LOO-CV) validation.</w:t>
      </w:r>
    </w:p>
    <w:p>
      <w:pPr>
        <w:pStyle w:val="ListParagraph"/>
        <w:numPr>
          <w:ilvl w:val="0"/>
          <w:numId w:val="1"/>
        </w:numPr>
        <w:spacing w:after="60" w:line="268"/>
      </w:pPr>
      <w:r>
        <w:rPr>
          <w:sz w:val="21"/>
          <w:szCs w:val="21"/>
        </w:rPr>
        <w:t xml:space="preserve">A short-horizon national installation forecast with explicit uncertainty intervals.</w:t>
      </w:r>
    </w:p>
    <w:p>
      <w:pPr>
        <w:pStyle w:val="ListParagraph"/>
        <w:numPr>
          <w:ilvl w:val="0"/>
          <w:numId w:val="1"/>
        </w:numPr>
        <w:spacing w:after="60" w:line="268"/>
      </w:pPr>
      <w:r>
        <w:rPr>
          <w:sz w:val="21"/>
          <w:szCs w:val="21"/>
        </w:rPr>
        <w:t xml:space="preserve">A scenario analysis explicit about which policy scenarios the data can and cannot support, plus an AI assistant (LangChain/LangGraph/RAG/Guardrails/Evals) that makes the findings queryable with cited, structured answers.</w:t>
      </w:r>
    </w:p>
    <w:p>
      <w:pPr>
        <w:pStyle w:val="Heading1"/>
        <w:spacing w:after="100" w:before="240"/>
      </w:pPr>
      <w:r>
        <w:rPr>
          <w:b/>
          <w:bCs/>
          <w:color w:val="1F5C8B"/>
        </w:rPr>
        <w:t xml:space="preserve">2. Related Work</w:t>
      </w:r>
    </w:p>
    <w:p>
      <w:pPr>
        <w:spacing w:after="120" w:line="276"/>
      </w:pPr>
      <w:r>
        <w:rPr>
          <w:sz w:val="21"/>
          <w:szCs w:val="21"/>
        </w:rPr>
        <w:t xml:space="preserve">Thirty-one studies across five clusters inform this paper: India’s solar-policy landscape; ML for PV generation forecasting and adoption prediction; household-level adoption barriers; PM Surya Ghar-specific evidence; and solar forecasting methods. ML is applied extensively to solar generation forecasting and to rooftop adoption in Western markets, but no published model performs state-level, time-varying, ML-based forecasting of Indian rooftop-solar adoption. The subsidy paradox — that administrative execution matters more than subsidy size — is described in India-specific studies (Mukherjee &amp; Halder’s 10-state regression; Patel et al.’s 29-state conversion synthesis; Mittal &amp; Upadhay’s 98.9%-aware-but-27%-use survey) but never tested under a validated small-sample ML design. Crucially, the ML literature shows tree-ensemble/deep models winning on large samples (thousands of rows, dense time series); our 28–35-state panel is two to three orders of magnitude smaller — precisely the regime where that same literature predicts simpler models should win.</w:t>
      </w:r>
    </w:p>
    <w:p>
      <w:pPr>
        <w:pStyle w:val="Heading1"/>
        <w:spacing w:after="100" w:before="240"/>
      </w:pPr>
      <w:r>
        <w:rPr>
          <w:b/>
          <w:bCs/>
          <w:color w:val="1F5C8B"/>
        </w:rPr>
        <w:t xml:space="preserve">3. Data and Reconciliation</w:t>
      </w:r>
    </w:p>
    <w:p>
      <w:pPr>
        <w:pStyle w:val="Heading2"/>
        <w:spacing w:after="100" w:before="240"/>
      </w:pPr>
      <w:r>
        <w:rPr>
          <w:b/>
          <w:bCs/>
          <w:color w:val="1F5C8B"/>
        </w:rPr>
        <w:t xml:space="preserve">3.1 Sources and panel construction</w:t>
      </w:r>
    </w:p>
    <w:p>
      <w:pPr>
        <w:spacing w:after="120" w:line="276"/>
      </w:pPr>
      <w:r>
        <w:rPr>
          <w:sz w:val="21"/>
          <w:szCs w:val="21"/>
        </w:rPr>
        <w:t xml:space="preserve">Ten datasets were individually sourced, cross-verified against official totals, and merged into a canonical 36-state/UT panel (PM Surya Ghar portal, data.gov.in / Rajya Sabha releases, MNRE RE-capacity, NITI/ICeD solar potential, NASA POWER irradiance, SERC/CEA tariffs). Two design choices matter: (i) DISCOM-specific tariff/progress rows (Torrent Power; Mumbai’s BEST/Adani/TATA circles) were excluded from state totals and kept in a separate utility-level file to avoid double-counting; (ii) scheme-progress snapshots from different official releases were kept as separate dated rows rather than force-merged, since source dates are often 10+ weeks apart.</w:t>
      </w:r>
    </w:p>
    <w:p>
      <w:pPr>
        <w:pStyle w:val="Heading2"/>
        <w:spacing w:after="100" w:before="240"/>
      </w:pPr>
      <w:r>
        <w:rPr>
          <w:b/>
          <w:bCs/>
          <w:color w:val="1F5C8B"/>
        </w:rPr>
        <w:t xml:space="preserve">3.2 Target variable</w:t>
      </w:r>
    </w:p>
    <w:p>
      <w:pPr>
        <w:spacing w:after="120" w:line="276"/>
      </w:pPr>
      <w:r>
        <w:rPr>
          <w:sz w:val="21"/>
          <w:szCs w:val="21"/>
        </w:rPr>
        <w:t xml:space="preserve">The target is the conversion ratio = installations ÷ applications — chosen over raw installation counts because it is scale-invariant across states of very different size, directly interpretable as administrative/adoption efficiency, and the variable the literature’s subsidy-paradox finding is framed around. Two Tier-1 datasets (net-metering regime; state-level subsidy top-up) were deliberately scoped out for lack of a centralized source — documented as limitations, not silent gaps, and directly constraining Scenario B.</w:t>
      </w:r>
    </w:p>
    <w:p>
      <w:pPr>
        <w:pStyle w:val="Heading1"/>
        <w:spacing w:after="100" w:before="240"/>
      </w:pPr>
      <w:r>
        <w:rPr>
          <w:b/>
          <w:bCs/>
          <w:color w:val="1F5C8B"/>
        </w:rPr>
        <w:t xml:space="preserve">4. Methods</w:t>
      </w:r>
    </w:p>
    <w:p>
      <w:pPr>
        <w:pStyle w:val="Heading2"/>
        <w:spacing w:after="100" w:before="240"/>
      </w:pPr>
      <w:r>
        <w:rPr>
          <w:b/>
          <w:bCs/>
          <w:color w:val="1F5C8B"/>
        </w:rPr>
        <w:t xml:space="preserve">4.1 Validation</w:t>
      </w:r>
    </w:p>
    <w:p>
      <w:pPr>
        <w:spacing w:after="120" w:line="276"/>
      </w:pPr>
      <w:r>
        <w:rPr>
          <w:sz w:val="21"/>
          <w:szCs w:val="21"/>
        </w:rPr>
        <w:t xml:space="preserve">Given the small sample (28–35 states with complete data), evaluation uses Leave-One-Out Cross-Validation (LOO-CV) and benchmarks every model against a naïve (mean) baseline.</w:t>
      </w:r>
    </w:p>
    <w:p>
      <w:pPr>
        <w:pStyle w:val="Heading2"/>
        <w:spacing w:after="100" w:before="240"/>
      </w:pPr>
      <w:r>
        <w:rPr>
          <w:b/>
          <w:bCs/>
          <w:color w:val="1F5C8B"/>
        </w:rPr>
        <w:t xml:space="preserve">4.2 Model set and feature selection</w:t>
      </w:r>
    </w:p>
    <w:p>
      <w:pPr>
        <w:spacing w:after="120" w:line="276"/>
      </w:pPr>
      <w:r>
        <w:rPr>
          <w:sz w:val="21"/>
          <w:szCs w:val="21"/>
        </w:rPr>
        <w:t xml:space="preserve">Every covariate was first correlated against the conversion ratio; only tariff growth (2024→2025) and solar irradiance showed a meaningfully non-zero relationship (|r| &gt; 0.15), fixing the linear model’s feature set. Two families were then compared: a two-feature linear model (tariff growth, irradiance) and a six-feature RandomForest. A log-linear national installation forecast and SHAP diagnostics on the RandomForest complete the analysis.</w:t>
      </w:r>
    </w:p>
    <w:p>
      <w:pPr>
        <w:pStyle w:val="Heading2"/>
        <w:spacing w:after="100" w:before="240"/>
      </w:pPr>
      <w:r>
        <w:rPr>
          <w:b/>
          <w:bCs/>
          <w:color w:val="1F5C8B"/>
        </w:rPr>
        <w:t xml:space="preserve">4.3 Subsidy-paradox test</w:t>
      </w:r>
    </w:p>
    <w:p>
      <w:pPr>
        <w:spacing w:after="120" w:line="276"/>
      </w:pPr>
      <w:r>
        <w:rPr>
          <w:sz w:val="21"/>
          <w:szCs w:val="21"/>
        </w:rPr>
        <w:t xml:space="preserve">The paradox is tested two ways: the correlation table (§5.2) shows subsidy/tariff level ranks among the weakest covariates; and model comparison (§5.3) shows the parsimonious linear model beats the richer RandomForest — which overfits the small sample rather than revealing additional subsidy signal. A SHAP summary confirms that even inside the RandomForest, tariff growth and irradiance dominate.</w:t>
      </w:r>
    </w:p>
    <w:p>
      <w:pPr>
        <w:pStyle w:val="Heading2"/>
        <w:spacing w:after="100" w:before="240"/>
      </w:pPr>
      <w:r>
        <w:rPr>
          <w:b/>
          <w:bCs/>
          <w:color w:val="1F5C8B"/>
        </w:rPr>
        <w:t xml:space="preserve">4.4 AI intelligence layer</w:t>
      </w:r>
    </w:p>
    <w:p>
      <w:pPr>
        <w:spacing w:after="120" w:line="276"/>
      </w:pPr>
      <w:r>
        <w:rPr>
          <w:sz w:val="21"/>
          <w:szCs w:val="21"/>
        </w:rPr>
        <w:t xml:space="preserve">The model and data are exposed via LangChain-style typed tools; a LangGraph orchestration graph (guardrail → classify → tool → retrieval → synthesis); Vectorless RAG (BM25 over a 55-document corpus, no vector DB); Guardrails (scope filter + a schema forcing answer / confidence / data source / assumptions / limitations); and an Evals suite. Served by FastAPI behind a Streamlit dashboard. The guardrail enforces the same caveats the paper applies manually — e.g., a query implying Scenario B’s subsidy-increase premise is rejected/qualified.</w:t>
      </w:r>
    </w:p>
    <w:p>
      <w:pPr>
        <w:pStyle w:val="Heading1"/>
        <w:spacing w:after="100" w:before="240"/>
      </w:pPr>
      <w:r>
        <w:rPr>
          <w:b/>
          <w:bCs/>
          <w:color w:val="1F5C8B"/>
        </w:rPr>
        <w:t xml:space="preserve">5. Results</w:t>
      </w:r>
    </w:p>
    <w:p>
      <w:pPr>
        <w:pStyle w:val="Heading2"/>
        <w:spacing w:after="100" w:before="240"/>
      </w:pPr>
      <w:r>
        <w:rPr>
          <w:b/>
          <w:bCs/>
          <w:color w:val="1F5C8B"/>
        </w:rPr>
        <w:t xml:space="preserve">5.1 Exploratory findings</w:t>
      </w:r>
    </w:p>
    <w:p>
      <w:pPr>
        <w:spacing w:after="120" w:line="276"/>
      </w:pPr>
      <w:r>
        <w:rPr>
          <w:sz w:val="21"/>
          <w:szCs w:val="21"/>
        </w:rPr>
        <w:t xml:space="preserve">Conversion ratio across 35 states with complete data ranges from 1.5% (Arunachal Pradesh) to 92.9% (Mizoram).</w:t>
      </w:r>
    </w:p>
    <w:p>
      <w:pPr>
        <w:pStyle w:val="Heading2"/>
        <w:spacing w:after="100" w:before="240"/>
      </w:pPr>
      <w:r>
        <w:rPr>
          <w:b/>
          <w:bCs/>
          <w:color w:val="1F5C8B"/>
        </w:rPr>
        <w:t xml:space="preserve">5.2 Correlation of covariates with conversion (Table I)</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5360"/>
        <w:gridCol w:w="2000"/>
        <w:gridCol w:w="2000"/>
      </w:tblGrid>
      <w:tr>
        <w:trPr>
          <w:tblHeader/>
        </w:trPr>
        <w:tc>
          <w:tcPr>
            <w:tcW w:type="dxa" w:w="5360"/>
            <w:shd w:fill="E8EEF4" w:color="auto" w:val="clear"/>
            <w:tcMar>
              <w:top w:type="dxa" w:w="40"/>
              <w:left w:type="dxa" w:w="90"/>
              <w:bottom w:type="dxa" w:w="40"/>
              <w:right w:type="dxa" w:w="90"/>
            </w:tcMar>
          </w:tcPr>
          <w:p>
            <w:pPr>
              <w:spacing w:after="0" w:line="240"/>
              <w:jc w:val="left"/>
            </w:pPr>
            <w:r>
              <w:rPr>
                <w:b/>
                <w:bCs/>
                <w:sz w:val="18"/>
                <w:szCs w:val="18"/>
              </w:rPr>
              <w:t xml:space="preserve">Feature</w:t>
            </w:r>
          </w:p>
        </w:tc>
        <w:tc>
          <w:tcPr>
            <w:tcW w:type="dxa" w:w="2000"/>
            <w:shd w:fill="E8EEF4" w:color="auto" w:val="clear"/>
            <w:tcMar>
              <w:top w:type="dxa" w:w="40"/>
              <w:left w:type="dxa" w:w="90"/>
              <w:bottom w:type="dxa" w:w="40"/>
              <w:right w:type="dxa" w:w="90"/>
            </w:tcMar>
          </w:tcPr>
          <w:p>
            <w:pPr>
              <w:spacing w:after="0" w:line="240"/>
              <w:jc w:val="center"/>
            </w:pPr>
            <w:r>
              <w:rPr>
                <w:b/>
                <w:bCs/>
                <w:sz w:val="18"/>
                <w:szCs w:val="18"/>
              </w:rPr>
              <w:t xml:space="preserve">r</w:t>
            </w:r>
          </w:p>
        </w:tc>
        <w:tc>
          <w:tcPr>
            <w:tcW w:type="dxa" w:w="2000"/>
            <w:shd w:fill="E8EEF4" w:color="auto" w:val="clear"/>
            <w:tcMar>
              <w:top w:type="dxa" w:w="40"/>
              <w:left w:type="dxa" w:w="90"/>
              <w:bottom w:type="dxa" w:w="40"/>
              <w:right w:type="dxa" w:w="90"/>
            </w:tcMar>
          </w:tcPr>
          <w:p>
            <w:pPr>
              <w:spacing w:after="0" w:line="240"/>
              <w:jc w:val="center"/>
            </w:pPr>
            <w:r>
              <w:rPr>
                <w:b/>
                <w:bCs/>
                <w:sz w:val="18"/>
                <w:szCs w:val="18"/>
              </w:rPr>
              <w:t xml:space="preserve">n</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Solar irradiance (kWh/m²/day)</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+0.564</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28</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Tariff growth % (2024→2025)</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+0.421</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35</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Tariff level 2024 (Rs/kWh)</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−0.266</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35</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Tariff level 2025 (Rs/kWh)</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−0.197</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35</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MNRE RE capacity 2025 (MW)</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+0.131</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35</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Installations (Aug 2026)</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+0.096</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36</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Solar potential (6.69% wasteland)</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+0.081</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35</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Applications (Aug 2026)</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+0.004</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36</w:t>
            </w:r>
          </w:p>
        </w:tc>
      </w:tr>
    </w:tbl>
    <w:p>
      <w:pPr>
        <w:spacing w:after="120" w:line="276"/>
      </w:pPr>
      <w:r>
        <w:rPr>
          <w:sz w:val="21"/>
          <w:szCs w:val="21"/>
        </w:rPr>
        <w:t xml:space="preserve">Only tariff growth and irradiance clear |r| &gt; 0.15. Subsidy/tariff level is not among the meaningful predictors — the first empirical signature of the subsidy paradox.</w:t>
      </w:r>
    </w:p>
    <w:p>
      <w:pPr>
        <w:pStyle w:val="Heading2"/>
        <w:spacing w:after="100" w:before="240"/>
      </w:pPr>
      <w:r>
        <w:rPr>
          <w:b/>
          <w:bCs/>
          <w:color w:val="1F5C8B"/>
        </w:rPr>
        <w:t xml:space="preserve">5.3 Model comparison — the headline finding (Table II)</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5360"/>
        <w:gridCol w:w="2000"/>
        <w:gridCol w:w="2000"/>
      </w:tblGrid>
      <w:tr>
        <w:trPr>
          <w:tblHeader/>
        </w:trPr>
        <w:tc>
          <w:tcPr>
            <w:tcW w:type="dxa" w:w="5360"/>
            <w:shd w:fill="E8EEF4" w:color="auto" w:val="clear"/>
            <w:tcMar>
              <w:top w:type="dxa" w:w="40"/>
              <w:left w:type="dxa" w:w="90"/>
              <w:bottom w:type="dxa" w:w="40"/>
              <w:right w:type="dxa" w:w="90"/>
            </w:tcMar>
          </w:tcPr>
          <w:p>
            <w:pPr>
              <w:spacing w:after="0" w:line="240"/>
              <w:jc w:val="left"/>
            </w:pPr>
            <w:r>
              <w:rPr>
                <w:b/>
                <w:bCs/>
                <w:sz w:val="18"/>
                <w:szCs w:val="18"/>
              </w:rPr>
              <w:t xml:space="preserve">Model</w:t>
            </w:r>
          </w:p>
        </w:tc>
        <w:tc>
          <w:tcPr>
            <w:tcW w:type="dxa" w:w="2000"/>
            <w:shd w:fill="E8EEF4" w:color="auto" w:val="clear"/>
            <w:tcMar>
              <w:top w:type="dxa" w:w="40"/>
              <w:left w:type="dxa" w:w="90"/>
              <w:bottom w:type="dxa" w:w="40"/>
              <w:right w:type="dxa" w:w="90"/>
            </w:tcMar>
          </w:tcPr>
          <w:p>
            <w:pPr>
              <w:spacing w:after="0" w:line="240"/>
              <w:jc w:val="center"/>
            </w:pPr>
            <w:r>
              <w:rPr>
                <w:b/>
                <w:bCs/>
                <w:sz w:val="18"/>
                <w:szCs w:val="18"/>
              </w:rPr>
              <w:t xml:space="preserve">LOO-CV MAE</w:t>
            </w:r>
          </w:p>
        </w:tc>
        <w:tc>
          <w:tcPr>
            <w:tcW w:type="dxa" w:w="2000"/>
            <w:shd w:fill="E8EEF4" w:color="auto" w:val="clear"/>
            <w:tcMar>
              <w:top w:type="dxa" w:w="40"/>
              <w:left w:type="dxa" w:w="90"/>
              <w:bottom w:type="dxa" w:w="40"/>
              <w:right w:type="dxa" w:w="90"/>
            </w:tcMar>
          </w:tcPr>
          <w:p>
            <w:pPr>
              <w:spacing w:after="0" w:line="240"/>
              <w:jc w:val="center"/>
            </w:pPr>
            <w:r>
              <w:rPr>
                <w:b/>
                <w:bCs/>
                <w:sz w:val="18"/>
                <w:szCs w:val="18"/>
              </w:rPr>
              <w:t xml:space="preserve">vs. naïve</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Linear (tariff growth + irradiance)</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0.145</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−18.7%</w:t>
            </w:r>
          </w:p>
        </w:tc>
      </w:tr>
      <w:tr>
        <w:tc>
          <w:tcPr>
            <w:tcW w:type="dxa" w:w="5360"/>
            <w:tcMar>
              <w:top w:type="dxa" w:w="40"/>
              <w:left w:type="dxa" w:w="90"/>
              <w:bottom w:type="dxa" w:w="40"/>
              <w:right w:type="dxa" w:w="90"/>
            </w:tcMar>
          </w:tcPr>
          <w:p>
            <w:pPr>
              <w:spacing w:after="0" w:line="240"/>
              <w:jc w:val="left"/>
            </w:pPr>
            <w:r>
              <w:rPr>
                <w:b w:val="false"/>
                <w:bCs w:val="false"/>
                <w:sz w:val="18"/>
                <w:szCs w:val="18"/>
              </w:rPr>
              <w:t xml:space="preserve">RandomForest (6 features)</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0.164</w:t>
            </w:r>
          </w:p>
        </w:tc>
        <w:tc>
          <w:tcPr>
            <w:tcW w:type="dxa" w:w="2000"/>
            <w:tcMar>
              <w:top w:type="dxa" w:w="40"/>
              <w:left w:type="dxa" w:w="90"/>
              <w:bottom w:type="dxa" w:w="40"/>
              <w:right w:type="dxa" w:w="90"/>
            </w:tcMar>
          </w:tcPr>
          <w:p>
            <w:pPr>
              <w:spacing w:after="0" w:line="240"/>
              <w:jc w:val="center"/>
            </w:pPr>
            <w:r>
              <w:rPr>
                <w:b w:val="false"/>
                <w:bCs w:val="false"/>
                <w:sz w:val="18"/>
                <w:szCs w:val="18"/>
              </w:rPr>
              <w:t xml:space="preserve">−8.0%</w:t>
            </w:r>
          </w:p>
        </w:tc>
      </w:tr>
    </w:tbl>
    <w:p>
      <w:pPr>
        <w:spacing w:after="120" w:line="276"/>
      </w:pPr>
      <w:r>
        <w:rPr>
          <w:sz w:val="21"/>
          <w:szCs w:val="21"/>
        </w:rPr>
        <w:t xml:space="preserve">The two-feature linear model outperforms the six-feature RandomForest: with ~28 complete rows, the extra features cause overfitting rather than improved fit (in-sample R² = 0.44, reported for context only). Subsidy/tariff level and raw solar potential are consistently the weakest predictors across every method — direct evidence against “subsidy amount alone” explaining conversion, reproducing the literature’s subsidy paradox with a wider range (1.5%–92.9%) than previously reported. SHAP confirms tariff growth and irradiance dominate inside the RandomForest too — the richer model agrees on which features matter, it just fits the small sample worse.</w:t>
      </w:r>
    </w:p>
    <w:p>
      <w:pPr>
        <w:pStyle w:val="Heading2"/>
        <w:spacing w:after="100" w:before="240"/>
      </w:pPr>
      <w:r>
        <w:rPr>
          <w:b/>
          <w:bCs/>
          <w:color w:val="1F5C8B"/>
        </w:rPr>
        <w:t xml:space="preserve">5.4 State case studies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1700"/>
        <w:gridCol w:w="1700"/>
        <w:gridCol w:w="1700"/>
        <w:gridCol w:w="1200"/>
        <w:gridCol w:w="1300"/>
        <w:gridCol w:w="1760"/>
      </w:tblGrid>
      <w:tr>
        <w:trPr>
          <w:tblHeader/>
        </w:trPr>
        <w:tc>
          <w:tcPr>
            <w:tcW w:type="dxa" w:w="1700"/>
            <w:shd w:fill="E8EEF4" w:color="auto" w:val="clear"/>
            <w:tcMar>
              <w:top w:type="dxa" w:w="40"/>
              <w:left w:type="dxa" w:w="90"/>
              <w:bottom w:type="dxa" w:w="40"/>
              <w:right w:type="dxa" w:w="90"/>
            </w:tcMar>
          </w:tcPr>
          <w:p>
            <w:pPr>
              <w:spacing w:after="0" w:line="240"/>
              <w:jc w:val="left"/>
            </w:pPr>
            <w:r>
              <w:rPr>
                <w:b/>
                <w:bCs/>
                <w:sz w:val="18"/>
                <w:szCs w:val="18"/>
              </w:rPr>
              <w:t xml:space="preserve">State</w:t>
            </w:r>
          </w:p>
        </w:tc>
        <w:tc>
          <w:tcPr>
            <w:tcW w:type="dxa" w:w="1700"/>
            <w:shd w:fill="E8EEF4" w:color="auto" w:val="clear"/>
            <w:tcMar>
              <w:top w:type="dxa" w:w="40"/>
              <w:left w:type="dxa" w:w="90"/>
              <w:bottom w:type="dxa" w:w="40"/>
              <w:right w:type="dxa" w:w="90"/>
            </w:tcMar>
          </w:tcPr>
          <w:p>
            <w:pPr>
              <w:spacing w:after="0" w:line="240"/>
              <w:jc w:val="center"/>
            </w:pPr>
            <w:r>
              <w:rPr>
                <w:b/>
                <w:bCs/>
                <w:sz w:val="18"/>
                <w:szCs w:val="18"/>
              </w:rPr>
              <w:t xml:space="preserve">Applications</w:t>
            </w:r>
          </w:p>
        </w:tc>
        <w:tc>
          <w:tcPr>
            <w:tcW w:type="dxa" w:w="1700"/>
            <w:shd w:fill="E8EEF4" w:color="auto" w:val="clear"/>
            <w:tcMar>
              <w:top w:type="dxa" w:w="40"/>
              <w:left w:type="dxa" w:w="90"/>
              <w:bottom w:type="dxa" w:w="40"/>
              <w:right w:type="dxa" w:w="90"/>
            </w:tcMar>
          </w:tcPr>
          <w:p>
            <w:pPr>
              <w:spacing w:after="0" w:line="240"/>
              <w:jc w:val="center"/>
            </w:pPr>
            <w:r>
              <w:rPr>
                <w:b/>
                <w:bCs/>
                <w:sz w:val="18"/>
                <w:szCs w:val="18"/>
              </w:rPr>
              <w:t xml:space="preserve">Installations</w:t>
            </w:r>
          </w:p>
        </w:tc>
        <w:tc>
          <w:tcPr>
            <w:tcW w:type="dxa" w:w="1200"/>
            <w:shd w:fill="E8EEF4" w:color="auto" w:val="clear"/>
            <w:tcMar>
              <w:top w:type="dxa" w:w="40"/>
              <w:left w:type="dxa" w:w="90"/>
              <w:bottom w:type="dxa" w:w="40"/>
              <w:right w:type="dxa" w:w="90"/>
            </w:tcMar>
          </w:tcPr>
          <w:p>
            <w:pPr>
              <w:spacing w:after="0" w:line="240"/>
              <w:jc w:val="center"/>
            </w:pPr>
            <w:r>
              <w:rPr>
                <w:b/>
                <w:bCs/>
                <w:sz w:val="18"/>
                <w:szCs w:val="18"/>
              </w:rPr>
              <w:t xml:space="preserve">Conv.</w:t>
            </w:r>
          </w:p>
        </w:tc>
        <w:tc>
          <w:tcPr>
            <w:tcW w:type="dxa" w:w="1300"/>
            <w:shd w:fill="E8EEF4" w:color="auto" w:val="clear"/>
            <w:tcMar>
              <w:top w:type="dxa" w:w="40"/>
              <w:left w:type="dxa" w:w="90"/>
              <w:bottom w:type="dxa" w:w="40"/>
              <w:right w:type="dxa" w:w="90"/>
            </w:tcMar>
          </w:tcPr>
          <w:p>
            <w:pPr>
              <w:spacing w:after="0" w:line="240"/>
              <w:jc w:val="center"/>
            </w:pPr>
            <w:r>
              <w:rPr>
                <w:b/>
                <w:bCs/>
                <w:sz w:val="18"/>
                <w:szCs w:val="18"/>
              </w:rPr>
              <w:t xml:space="preserve">Irradiance</w:t>
            </w:r>
          </w:p>
        </w:tc>
        <w:tc>
          <w:tcPr>
            <w:tcW w:type="dxa" w:w="1760"/>
            <w:shd w:fill="E8EEF4" w:color="auto" w:val="clear"/>
            <w:tcMar>
              <w:top w:type="dxa" w:w="40"/>
              <w:left w:type="dxa" w:w="90"/>
              <w:bottom w:type="dxa" w:w="40"/>
              <w:right w:type="dxa" w:w="90"/>
            </w:tcMar>
          </w:tcPr>
          <w:p>
            <w:pPr>
              <w:spacing w:after="0" w:line="240"/>
              <w:jc w:val="center"/>
            </w:pPr>
            <w:r>
              <w:rPr>
                <w:b/>
                <w:bCs/>
                <w:sz w:val="18"/>
                <w:szCs w:val="18"/>
              </w:rPr>
              <w:t xml:space="preserve">Note</w:t>
            </w:r>
          </w:p>
        </w:tc>
      </w:tr>
      <w:tr>
        <w:tc>
          <w:tcPr>
            <w:tcW w:type="dxa" w:w="1700"/>
            <w:tcMar>
              <w:top w:type="dxa" w:w="40"/>
              <w:left w:type="dxa" w:w="90"/>
              <w:bottom w:type="dxa" w:w="40"/>
              <w:right w:type="dxa" w:w="90"/>
            </w:tcMar>
          </w:tcPr>
          <w:p>
            <w:pPr>
              <w:spacing w:after="0" w:line="240"/>
              <w:jc w:val="left"/>
            </w:pPr>
            <w:r>
              <w:rPr>
                <w:b w:val="false"/>
                <w:bCs w:val="false"/>
                <w:sz w:val="18"/>
                <w:szCs w:val="18"/>
              </w:rPr>
              <w:t xml:space="preserve">Gujarat</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1,193,701</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811,533</w:t>
            </w:r>
          </w:p>
        </w:tc>
        <w:tc>
          <w:tcPr>
            <w:tcW w:type="dxa" w:w="1200"/>
            <w:tcMar>
              <w:top w:type="dxa" w:w="40"/>
              <w:left w:type="dxa" w:w="90"/>
              <w:bottom w:type="dxa" w:w="40"/>
              <w:right w:type="dxa" w:w="90"/>
            </w:tcMar>
          </w:tcPr>
          <w:p>
            <w:pPr>
              <w:spacing w:after="0" w:line="240"/>
              <w:jc w:val="center"/>
            </w:pPr>
            <w:r>
              <w:rPr>
                <w:b w:val="false"/>
                <w:bCs w:val="false"/>
                <w:sz w:val="18"/>
                <w:szCs w:val="18"/>
              </w:rPr>
              <w:t xml:space="preserve">0.68</w:t>
            </w:r>
          </w:p>
        </w:tc>
        <w:tc>
          <w:tcPr>
            <w:tcW w:type="dxa" w:w="1300"/>
            <w:tcMar>
              <w:top w:type="dxa" w:w="40"/>
              <w:left w:type="dxa" w:w="90"/>
              <w:bottom w:type="dxa" w:w="40"/>
              <w:right w:type="dxa" w:w="90"/>
            </w:tcMar>
          </w:tcPr>
          <w:p>
            <w:pPr>
              <w:spacing w:after="0" w:line="240"/>
              <w:jc w:val="center"/>
            </w:pPr>
            <w:r>
              <w:rPr>
                <w:b w:val="false"/>
                <w:bCs w:val="false"/>
                <w:sz w:val="18"/>
                <w:szCs w:val="18"/>
              </w:rPr>
              <w:t xml:space="preserve">mid</w:t>
            </w:r>
          </w:p>
        </w:tc>
        <w:tc>
          <w:tcPr>
            <w:tcW w:type="dxa" w:w="1760"/>
            <w:tcMar>
              <w:top w:type="dxa" w:w="40"/>
              <w:left w:type="dxa" w:w="90"/>
              <w:bottom w:type="dxa" w:w="40"/>
              <w:right w:type="dxa" w:w="90"/>
            </w:tcMar>
          </w:tcPr>
          <w:p>
            <w:pPr>
              <w:spacing w:after="0" w:line="240"/>
              <w:jc w:val="center"/>
            </w:pPr>
            <w:r>
              <w:rPr>
                <w:b w:val="false"/>
                <w:bCs w:val="false"/>
                <w:sz w:val="18"/>
                <w:szCs w:val="18"/>
              </w:rPr>
              <w:t xml:space="preserve">Volume leader</w:t>
            </w:r>
          </w:p>
        </w:tc>
      </w:tr>
      <w:tr>
        <w:tc>
          <w:tcPr>
            <w:tcW w:type="dxa" w:w="1700"/>
            <w:tcMar>
              <w:top w:type="dxa" w:w="40"/>
              <w:left w:type="dxa" w:w="90"/>
              <w:bottom w:type="dxa" w:w="40"/>
              <w:right w:type="dxa" w:w="90"/>
            </w:tcMar>
          </w:tcPr>
          <w:p>
            <w:pPr>
              <w:spacing w:after="0" w:line="240"/>
              <w:jc w:val="left"/>
            </w:pPr>
            <w:r>
              <w:rPr>
                <w:b w:val="false"/>
                <w:bCs w:val="false"/>
                <w:sz w:val="18"/>
                <w:szCs w:val="18"/>
              </w:rPr>
              <w:t xml:space="preserve">Maharashtra</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1,481,845</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746,100</w:t>
            </w:r>
          </w:p>
        </w:tc>
        <w:tc>
          <w:tcPr>
            <w:tcW w:type="dxa" w:w="1200"/>
            <w:tcMar>
              <w:top w:type="dxa" w:w="40"/>
              <w:left w:type="dxa" w:w="90"/>
              <w:bottom w:type="dxa" w:w="40"/>
              <w:right w:type="dxa" w:w="90"/>
            </w:tcMar>
          </w:tcPr>
          <w:p>
            <w:pPr>
              <w:spacing w:after="0" w:line="240"/>
              <w:jc w:val="center"/>
            </w:pPr>
            <w:r>
              <w:rPr>
                <w:b w:val="false"/>
                <w:bCs w:val="false"/>
                <w:sz w:val="18"/>
                <w:szCs w:val="18"/>
              </w:rPr>
              <w:t xml:space="preserve">0.50</w:t>
            </w:r>
          </w:p>
        </w:tc>
        <w:tc>
          <w:tcPr>
            <w:tcW w:type="dxa" w:w="1300"/>
            <w:tcMar>
              <w:top w:type="dxa" w:w="40"/>
              <w:left w:type="dxa" w:w="90"/>
              <w:bottom w:type="dxa" w:w="40"/>
              <w:right w:type="dxa" w:w="90"/>
            </w:tcMar>
          </w:tcPr>
          <w:p>
            <w:pPr>
              <w:spacing w:after="0" w:line="240"/>
              <w:jc w:val="center"/>
            </w:pPr>
            <w:r>
              <w:rPr>
                <w:b w:val="false"/>
                <w:bCs w:val="false"/>
                <w:sz w:val="18"/>
                <w:szCs w:val="18"/>
              </w:rPr>
              <w:t xml:space="preserve">high</w:t>
            </w:r>
          </w:p>
        </w:tc>
        <w:tc>
          <w:tcPr>
            <w:tcW w:type="dxa" w:w="1760"/>
            <w:tcMar>
              <w:top w:type="dxa" w:w="40"/>
              <w:left w:type="dxa" w:w="90"/>
              <w:bottom w:type="dxa" w:w="40"/>
              <w:right w:type="dxa" w:w="90"/>
            </w:tcMar>
          </w:tcPr>
          <w:p>
            <w:pPr>
              <w:spacing w:after="0" w:line="240"/>
              <w:jc w:val="center"/>
            </w:pPr>
            <w:r>
              <w:rPr>
                <w:b w:val="false"/>
                <w:bCs w:val="false"/>
                <w:sz w:val="18"/>
                <w:szCs w:val="18"/>
              </w:rPr>
              <w:t xml:space="preserve">Largest funnel</w:t>
            </w:r>
          </w:p>
        </w:tc>
      </w:tr>
      <w:tr>
        <w:tc>
          <w:tcPr>
            <w:tcW w:type="dxa" w:w="1700"/>
            <w:tcMar>
              <w:top w:type="dxa" w:w="40"/>
              <w:left w:type="dxa" w:w="90"/>
              <w:bottom w:type="dxa" w:w="40"/>
              <w:right w:type="dxa" w:w="90"/>
            </w:tcMar>
          </w:tcPr>
          <w:p>
            <w:pPr>
              <w:spacing w:after="0" w:line="240"/>
              <w:jc w:val="left"/>
            </w:pPr>
            <w:r>
              <w:rPr>
                <w:b w:val="false"/>
                <w:bCs w:val="false"/>
                <w:sz w:val="18"/>
                <w:szCs w:val="18"/>
              </w:rPr>
              <w:t xml:space="preserve">Rajasthan</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460,662</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301,362</w:t>
            </w:r>
          </w:p>
        </w:tc>
        <w:tc>
          <w:tcPr>
            <w:tcW w:type="dxa" w:w="1200"/>
            <w:tcMar>
              <w:top w:type="dxa" w:w="40"/>
              <w:left w:type="dxa" w:w="90"/>
              <w:bottom w:type="dxa" w:w="40"/>
              <w:right w:type="dxa" w:w="90"/>
            </w:tcMar>
          </w:tcPr>
          <w:p>
            <w:pPr>
              <w:spacing w:after="0" w:line="240"/>
              <w:jc w:val="center"/>
            </w:pPr>
            <w:r>
              <w:rPr>
                <w:b w:val="false"/>
                <w:bCs w:val="false"/>
                <w:sz w:val="18"/>
                <w:szCs w:val="18"/>
              </w:rPr>
              <w:t xml:space="preserve">0.65</w:t>
            </w:r>
          </w:p>
        </w:tc>
        <w:tc>
          <w:tcPr>
            <w:tcW w:type="dxa" w:w="1300"/>
            <w:tcMar>
              <w:top w:type="dxa" w:w="40"/>
              <w:left w:type="dxa" w:w="90"/>
              <w:bottom w:type="dxa" w:w="40"/>
              <w:right w:type="dxa" w:w="90"/>
            </w:tcMar>
          </w:tcPr>
          <w:p>
            <w:pPr>
              <w:spacing w:after="0" w:line="240"/>
              <w:jc w:val="center"/>
            </w:pPr>
            <w:r>
              <w:rPr>
                <w:b w:val="false"/>
                <w:bCs w:val="false"/>
                <w:sz w:val="18"/>
                <w:szCs w:val="18"/>
              </w:rPr>
              <w:t xml:space="preserve">high</w:t>
            </w:r>
          </w:p>
        </w:tc>
        <w:tc>
          <w:tcPr>
            <w:tcW w:type="dxa" w:w="1760"/>
            <w:tcMar>
              <w:top w:type="dxa" w:w="40"/>
              <w:left w:type="dxa" w:w="90"/>
              <w:bottom w:type="dxa" w:w="40"/>
              <w:right w:type="dxa" w:w="90"/>
            </w:tcMar>
          </w:tcPr>
          <w:p>
            <w:pPr>
              <w:spacing w:after="0" w:line="240"/>
              <w:jc w:val="center"/>
            </w:pPr>
            <w:r>
              <w:rPr>
                <w:b w:val="false"/>
                <w:bCs w:val="false"/>
                <w:sz w:val="18"/>
                <w:szCs w:val="18"/>
              </w:rPr>
              <w:t xml:space="preserve">High potential</w:t>
            </w:r>
          </w:p>
        </w:tc>
      </w:tr>
      <w:tr>
        <w:tc>
          <w:tcPr>
            <w:tcW w:type="dxa" w:w="1700"/>
            <w:tcMar>
              <w:top w:type="dxa" w:w="40"/>
              <w:left w:type="dxa" w:w="90"/>
              <w:bottom w:type="dxa" w:w="40"/>
              <w:right w:type="dxa" w:w="90"/>
            </w:tcMar>
          </w:tcPr>
          <w:p>
            <w:pPr>
              <w:spacing w:after="0" w:line="240"/>
              <w:jc w:val="left"/>
            </w:pPr>
            <w:r>
              <w:rPr>
                <w:b w:val="false"/>
                <w:bCs w:val="false"/>
                <w:sz w:val="18"/>
                <w:szCs w:val="18"/>
              </w:rPr>
              <w:t xml:space="preserve">Kerala</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434,708</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329,500</w:t>
            </w:r>
          </w:p>
        </w:tc>
        <w:tc>
          <w:tcPr>
            <w:tcW w:type="dxa" w:w="1200"/>
            <w:tcMar>
              <w:top w:type="dxa" w:w="40"/>
              <w:left w:type="dxa" w:w="90"/>
              <w:bottom w:type="dxa" w:w="40"/>
              <w:right w:type="dxa" w:w="90"/>
            </w:tcMar>
          </w:tcPr>
          <w:p>
            <w:pPr>
              <w:spacing w:after="0" w:line="240"/>
              <w:jc w:val="center"/>
            </w:pPr>
            <w:r>
              <w:rPr>
                <w:b w:val="false"/>
                <w:bCs w:val="false"/>
                <w:sz w:val="18"/>
                <w:szCs w:val="18"/>
              </w:rPr>
              <w:t xml:space="preserve">0.76</w:t>
            </w:r>
          </w:p>
        </w:tc>
        <w:tc>
          <w:tcPr>
            <w:tcW w:type="dxa" w:w="1300"/>
            <w:tcMar>
              <w:top w:type="dxa" w:w="40"/>
              <w:left w:type="dxa" w:w="90"/>
              <w:bottom w:type="dxa" w:w="40"/>
              <w:right w:type="dxa" w:w="90"/>
            </w:tcMar>
          </w:tcPr>
          <w:p>
            <w:pPr>
              <w:spacing w:after="0" w:line="240"/>
              <w:jc w:val="center"/>
            </w:pPr>
            <w:r>
              <w:rPr>
                <w:b w:val="false"/>
                <w:bCs w:val="false"/>
                <w:sz w:val="18"/>
                <w:szCs w:val="18"/>
              </w:rPr>
              <w:t xml:space="preserve">high</w:t>
            </w:r>
          </w:p>
        </w:tc>
        <w:tc>
          <w:tcPr>
            <w:tcW w:type="dxa" w:w="1760"/>
            <w:tcMar>
              <w:top w:type="dxa" w:w="40"/>
              <w:left w:type="dxa" w:w="90"/>
              <w:bottom w:type="dxa" w:w="40"/>
              <w:right w:type="dxa" w:w="90"/>
            </w:tcMar>
          </w:tcPr>
          <w:p>
            <w:pPr>
              <w:spacing w:after="0" w:line="240"/>
              <w:jc w:val="center"/>
            </w:pPr>
            <w:r>
              <w:rPr>
                <w:b w:val="false"/>
                <w:bCs w:val="false"/>
                <w:sz w:val="18"/>
                <w:szCs w:val="18"/>
              </w:rPr>
              <w:t xml:space="preserve">Strong conv.</w:t>
            </w:r>
          </w:p>
        </w:tc>
      </w:tr>
      <w:tr>
        <w:tc>
          <w:tcPr>
            <w:tcW w:type="dxa" w:w="1700"/>
            <w:tcMar>
              <w:top w:type="dxa" w:w="40"/>
              <w:left w:type="dxa" w:w="90"/>
              <w:bottom w:type="dxa" w:w="40"/>
              <w:right w:type="dxa" w:w="90"/>
            </w:tcMar>
          </w:tcPr>
          <w:p>
            <w:pPr>
              <w:spacing w:after="0" w:line="240"/>
              <w:jc w:val="left"/>
            </w:pPr>
            <w:r>
              <w:rPr>
                <w:b w:val="false"/>
                <w:bCs w:val="false"/>
                <w:sz w:val="18"/>
                <w:szCs w:val="18"/>
              </w:rPr>
              <w:t xml:space="preserve">Bihar</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113,188</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26,128</w:t>
            </w:r>
          </w:p>
        </w:tc>
        <w:tc>
          <w:tcPr>
            <w:tcW w:type="dxa" w:w="1200"/>
            <w:tcMar>
              <w:top w:type="dxa" w:w="40"/>
              <w:left w:type="dxa" w:w="90"/>
              <w:bottom w:type="dxa" w:w="40"/>
              <w:right w:type="dxa" w:w="90"/>
            </w:tcMar>
          </w:tcPr>
          <w:p>
            <w:pPr>
              <w:spacing w:after="0" w:line="240"/>
              <w:jc w:val="center"/>
            </w:pPr>
            <w:r>
              <w:rPr>
                <w:b w:val="false"/>
                <w:bCs w:val="false"/>
                <w:sz w:val="18"/>
                <w:szCs w:val="18"/>
              </w:rPr>
              <w:t xml:space="preserve">0.23</w:t>
            </w:r>
          </w:p>
        </w:tc>
        <w:tc>
          <w:tcPr>
            <w:tcW w:type="dxa" w:w="1300"/>
            <w:tcMar>
              <w:top w:type="dxa" w:w="40"/>
              <w:left w:type="dxa" w:w="90"/>
              <w:bottom w:type="dxa" w:w="40"/>
              <w:right w:type="dxa" w:w="90"/>
            </w:tcMar>
          </w:tcPr>
          <w:p>
            <w:pPr>
              <w:spacing w:after="0" w:line="240"/>
              <w:jc w:val="center"/>
            </w:pPr>
            <w:r>
              <w:rPr>
                <w:b w:val="false"/>
                <w:bCs w:val="false"/>
                <w:sz w:val="18"/>
                <w:szCs w:val="18"/>
              </w:rPr>
              <w:t xml:space="preserve">low</w:t>
            </w:r>
          </w:p>
        </w:tc>
        <w:tc>
          <w:tcPr>
            <w:tcW w:type="dxa" w:w="1760"/>
            <w:tcMar>
              <w:top w:type="dxa" w:w="40"/>
              <w:left w:type="dxa" w:w="90"/>
              <w:bottom w:type="dxa" w:w="40"/>
              <w:right w:type="dxa" w:w="90"/>
            </w:tcMar>
          </w:tcPr>
          <w:p>
            <w:pPr>
              <w:spacing w:after="0" w:line="240"/>
              <w:jc w:val="center"/>
            </w:pPr>
            <w:r>
              <w:rPr>
                <w:b w:val="false"/>
                <w:bCs w:val="false"/>
                <w:sz w:val="18"/>
                <w:szCs w:val="18"/>
              </w:rPr>
              <w:t xml:space="preserve">Lagging</w:t>
            </w:r>
          </w:p>
        </w:tc>
      </w:tr>
      <w:tr>
        <w:tc>
          <w:tcPr>
            <w:tcW w:type="dxa" w:w="1700"/>
            <w:tcMar>
              <w:top w:type="dxa" w:w="40"/>
              <w:left w:type="dxa" w:w="90"/>
              <w:bottom w:type="dxa" w:w="40"/>
              <w:right w:type="dxa" w:w="90"/>
            </w:tcMar>
          </w:tcPr>
          <w:p>
            <w:pPr>
              <w:spacing w:after="0" w:line="240"/>
              <w:jc w:val="left"/>
            </w:pPr>
            <w:r>
              <w:rPr>
                <w:b w:val="false"/>
                <w:bCs w:val="false"/>
                <w:sz w:val="18"/>
                <w:szCs w:val="18"/>
              </w:rPr>
              <w:t xml:space="preserve">West Bengal</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49,423</w:t>
            </w:r>
          </w:p>
        </w:tc>
        <w:tc>
          <w:tcPr>
            <w:tcW w:type="dxa" w:w="1700"/>
            <w:tcMar>
              <w:top w:type="dxa" w:w="40"/>
              <w:left w:type="dxa" w:w="90"/>
              <w:bottom w:type="dxa" w:w="40"/>
              <w:right w:type="dxa" w:w="90"/>
            </w:tcMar>
          </w:tcPr>
          <w:p>
            <w:pPr>
              <w:spacing w:after="0" w:line="240"/>
              <w:jc w:val="center"/>
            </w:pPr>
            <w:r>
              <w:rPr>
                <w:b w:val="false"/>
                <w:bCs w:val="false"/>
                <w:sz w:val="18"/>
                <w:szCs w:val="18"/>
              </w:rPr>
              <w:t xml:space="preserve">4,792</w:t>
            </w:r>
          </w:p>
        </w:tc>
        <w:tc>
          <w:tcPr>
            <w:tcW w:type="dxa" w:w="1200"/>
            <w:tcMar>
              <w:top w:type="dxa" w:w="40"/>
              <w:left w:type="dxa" w:w="90"/>
              <w:bottom w:type="dxa" w:w="40"/>
              <w:right w:type="dxa" w:w="90"/>
            </w:tcMar>
          </w:tcPr>
          <w:p>
            <w:pPr>
              <w:spacing w:after="0" w:line="240"/>
              <w:jc w:val="center"/>
            </w:pPr>
            <w:r>
              <w:rPr>
                <w:b w:val="false"/>
                <w:bCs w:val="false"/>
                <w:sz w:val="18"/>
                <w:szCs w:val="18"/>
              </w:rPr>
              <w:t xml:space="preserve">0.10</w:t>
            </w:r>
          </w:p>
        </w:tc>
        <w:tc>
          <w:tcPr>
            <w:tcW w:type="dxa" w:w="1300"/>
            <w:tcMar>
              <w:top w:type="dxa" w:w="40"/>
              <w:left w:type="dxa" w:w="90"/>
              <w:bottom w:type="dxa" w:w="40"/>
              <w:right w:type="dxa" w:w="90"/>
            </w:tcMar>
          </w:tcPr>
          <w:p>
            <w:pPr>
              <w:spacing w:after="0" w:line="240"/>
              <w:jc w:val="center"/>
            </w:pPr>
            <w:r>
              <w:rPr>
                <w:b w:val="false"/>
                <w:bCs w:val="false"/>
                <w:sz w:val="18"/>
                <w:szCs w:val="18"/>
              </w:rPr>
              <w:t xml:space="preserve">low</w:t>
            </w:r>
          </w:p>
        </w:tc>
        <w:tc>
          <w:tcPr>
            <w:tcW w:type="dxa" w:w="1760"/>
            <w:tcMar>
              <w:top w:type="dxa" w:w="40"/>
              <w:left w:type="dxa" w:w="90"/>
              <w:bottom w:type="dxa" w:w="40"/>
              <w:right w:type="dxa" w:w="90"/>
            </w:tcMar>
          </w:tcPr>
          <w:p>
            <w:pPr>
              <w:spacing w:after="0" w:line="240"/>
              <w:jc w:val="center"/>
            </w:pPr>
            <w:r>
              <w:rPr>
                <w:b w:val="false"/>
                <w:bCs w:val="false"/>
                <w:sz w:val="18"/>
                <w:szCs w:val="18"/>
              </w:rPr>
              <w:t xml:space="preserve">Weakest</w:t>
            </w:r>
          </w:p>
        </w:tc>
      </w:tr>
    </w:tbl>
    <w:p>
      <w:pPr>
        <w:spacing w:after="120" w:line="276"/>
      </w:pPr>
      <w:r>
        <w:rPr>
          <w:sz w:val="21"/>
          <w:szCs w:val="21"/>
        </w:rPr>
        <w:t xml:space="preserve">Kerala converts strongly (high irradiance, rising tariffs) while West Bengal under-converts — consistent with tariff-growth dynamics and irradiance, not subsidy size, separating high- from low-converting states.</w:t>
      </w:r>
    </w:p>
    <w:p>
      <w:pPr>
        <w:pStyle w:val="Heading2"/>
        <w:spacing w:after="100" w:before="240"/>
      </w:pPr>
      <w:r>
        <w:rPr>
          <w:b/>
          <w:bCs/>
          <w:color w:val="1F5C8B"/>
        </w:rPr>
        <w:t xml:space="preserve">5.5 National installation forecast (Table III)</w:t>
      </w:r>
    </w:p>
    <w:p>
      <w:pPr>
        <w:spacing w:after="120" w:line="276"/>
      </w:pPr>
      <w:r>
        <w:rPr>
          <w:sz w:val="21"/>
          <w:szCs w:val="21"/>
        </w:rPr>
        <w:t xml:space="preserve">National cumulative installations were forecast from six dated official releases (Nov 2024 – Aug 2026). Log-linear extrapolation fit substantially better than naïve or linear (in-sample MAPE ~5% vs. ~17%), consistent with a scheme still ramping up.</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360"/>
        <w:gridCol w:w="3000"/>
        <w:gridCol w:w="3000"/>
      </w:tblGrid>
      <w:tr>
        <w:trPr>
          <w:tblHeader/>
        </w:trPr>
        <w:tc>
          <w:tcPr>
            <w:tcW w:type="dxa" w:w="3360"/>
            <w:shd w:fill="E8EEF4" w:color="auto" w:val="clear"/>
            <w:tcMar>
              <w:top w:type="dxa" w:w="40"/>
              <w:left w:type="dxa" w:w="90"/>
              <w:bottom w:type="dxa" w:w="40"/>
              <w:right w:type="dxa" w:w="90"/>
            </w:tcMar>
          </w:tcPr>
          <w:p>
            <w:pPr>
              <w:spacing w:after="0" w:line="240"/>
              <w:jc w:val="left"/>
            </w:pPr>
            <w:r>
              <w:rPr>
                <w:b/>
                <w:bCs/>
                <w:sz w:val="18"/>
                <w:szCs w:val="18"/>
              </w:rPr>
              <w:t xml:space="preserve">Horizon</w:t>
            </w:r>
          </w:p>
        </w:tc>
        <w:tc>
          <w:tcPr>
            <w:tcW w:type="dxa" w:w="3000"/>
            <w:shd w:fill="E8EEF4" w:color="auto" w:val="clear"/>
            <w:tcMar>
              <w:top w:type="dxa" w:w="40"/>
              <w:left w:type="dxa" w:w="90"/>
              <w:bottom w:type="dxa" w:w="40"/>
              <w:right w:type="dxa" w:w="90"/>
            </w:tcMar>
          </w:tcPr>
          <w:p>
            <w:pPr>
              <w:spacing w:after="0" w:line="240"/>
              <w:jc w:val="center"/>
            </w:pPr>
            <w:r>
              <w:rPr>
                <w:b/>
                <w:bCs/>
                <w:sz w:val="18"/>
                <w:szCs w:val="18"/>
              </w:rPr>
              <w:t xml:space="preserve">Point forecast</w:t>
            </w:r>
          </w:p>
        </w:tc>
        <w:tc>
          <w:tcPr>
            <w:tcW w:type="dxa" w:w="3000"/>
            <w:shd w:fill="E8EEF4" w:color="auto" w:val="clear"/>
            <w:tcMar>
              <w:top w:type="dxa" w:w="40"/>
              <w:left w:type="dxa" w:w="90"/>
              <w:bottom w:type="dxa" w:w="40"/>
              <w:right w:type="dxa" w:w="90"/>
            </w:tcMar>
          </w:tcPr>
          <w:p>
            <w:pPr>
              <w:spacing w:after="0" w:line="240"/>
              <w:jc w:val="center"/>
            </w:pPr>
            <w:r>
              <w:rPr>
                <w:b/>
                <w:bCs/>
                <w:sz w:val="18"/>
                <w:szCs w:val="18"/>
              </w:rPr>
              <w:t xml:space="preserve">95% interval</w:t>
            </w:r>
          </w:p>
        </w:tc>
      </w:tr>
      <w:tr>
        <w:tc>
          <w:tcPr>
            <w:tcW w:type="dxa" w:w="3360"/>
            <w:tcMar>
              <w:top w:type="dxa" w:w="40"/>
              <w:left w:type="dxa" w:w="90"/>
              <w:bottom w:type="dxa" w:w="40"/>
              <w:right w:type="dxa" w:w="90"/>
            </w:tcMar>
          </w:tcPr>
          <w:p>
            <w:pPr>
              <w:spacing w:after="0" w:line="240"/>
              <w:jc w:val="left"/>
            </w:pPr>
            <w:r>
              <w:rPr>
                <w:b w:val="false"/>
                <w:bCs w:val="false"/>
                <w:sz w:val="18"/>
                <w:szCs w:val="18"/>
              </w:rPr>
              <w:t xml:space="preserve">+3 months</w:t>
            </w:r>
          </w:p>
        </w:tc>
        <w:tc>
          <w:tcPr>
            <w:tcW w:type="dxa" w:w="3000"/>
            <w:tcMar>
              <w:top w:type="dxa" w:w="40"/>
              <w:left w:type="dxa" w:w="90"/>
              <w:bottom w:type="dxa" w:w="40"/>
              <w:right w:type="dxa" w:w="90"/>
            </w:tcMar>
          </w:tcPr>
          <w:p>
            <w:pPr>
              <w:spacing w:after="0" w:line="240"/>
              <w:jc w:val="center"/>
            </w:pPr>
            <w:r>
              <w:rPr>
                <w:b w:val="false"/>
                <w:bCs w:val="false"/>
                <w:sz w:val="18"/>
                <w:szCs w:val="18"/>
              </w:rPr>
              <w:t xml:space="preserve">≈ 5.4 M</w:t>
            </w:r>
          </w:p>
        </w:tc>
        <w:tc>
          <w:tcPr>
            <w:tcW w:type="dxa" w:w="3000"/>
            <w:tcMar>
              <w:top w:type="dxa" w:w="40"/>
              <w:left w:type="dxa" w:w="90"/>
              <w:bottom w:type="dxa" w:w="40"/>
              <w:right w:type="dxa" w:w="90"/>
            </w:tcMar>
          </w:tcPr>
          <w:p>
            <w:pPr>
              <w:spacing w:after="0" w:line="240"/>
              <w:jc w:val="center"/>
            </w:pPr>
            <w:r>
              <w:rPr>
                <w:b w:val="false"/>
                <w:bCs w:val="false"/>
                <w:sz w:val="18"/>
                <w:szCs w:val="18"/>
              </w:rPr>
              <w:t xml:space="preserve">5.2 M – 5.6 M</w:t>
            </w:r>
          </w:p>
        </w:tc>
      </w:tr>
      <w:tr>
        <w:tc>
          <w:tcPr>
            <w:tcW w:type="dxa" w:w="3360"/>
            <w:tcMar>
              <w:top w:type="dxa" w:w="40"/>
              <w:left w:type="dxa" w:w="90"/>
              <w:bottom w:type="dxa" w:w="40"/>
              <w:right w:type="dxa" w:w="90"/>
            </w:tcMar>
          </w:tcPr>
          <w:p>
            <w:pPr>
              <w:spacing w:after="0" w:line="240"/>
              <w:jc w:val="left"/>
            </w:pPr>
            <w:r>
              <w:rPr>
                <w:b w:val="false"/>
                <w:bCs w:val="false"/>
                <w:sz w:val="18"/>
                <w:szCs w:val="18"/>
              </w:rPr>
              <w:t xml:space="preserve">+6 months</w:t>
            </w:r>
          </w:p>
        </w:tc>
        <w:tc>
          <w:tcPr>
            <w:tcW w:type="dxa" w:w="3000"/>
            <w:tcMar>
              <w:top w:type="dxa" w:w="40"/>
              <w:left w:type="dxa" w:w="90"/>
              <w:bottom w:type="dxa" w:w="40"/>
              <w:right w:type="dxa" w:w="90"/>
            </w:tcMar>
          </w:tcPr>
          <w:p>
            <w:pPr>
              <w:spacing w:after="0" w:line="240"/>
              <w:jc w:val="center"/>
            </w:pPr>
            <w:r>
              <w:rPr>
                <w:b w:val="false"/>
                <w:bCs w:val="false"/>
                <w:sz w:val="18"/>
                <w:szCs w:val="18"/>
              </w:rPr>
              <w:t xml:space="preserve">≈ 6.4 M</w:t>
            </w:r>
          </w:p>
        </w:tc>
        <w:tc>
          <w:tcPr>
            <w:tcW w:type="dxa" w:w="3000"/>
            <w:tcMar>
              <w:top w:type="dxa" w:w="40"/>
              <w:left w:type="dxa" w:w="90"/>
              <w:bottom w:type="dxa" w:w="40"/>
              <w:right w:type="dxa" w:w="90"/>
            </w:tcMar>
          </w:tcPr>
          <w:p>
            <w:pPr>
              <w:spacing w:after="0" w:line="240"/>
              <w:jc w:val="center"/>
            </w:pPr>
            <w:r>
              <w:rPr>
                <w:b w:val="false"/>
                <w:bCs w:val="false"/>
                <w:sz w:val="18"/>
                <w:szCs w:val="18"/>
              </w:rPr>
              <w:t xml:space="preserve">6.2 M – 6.7 M</w:t>
            </w:r>
          </w:p>
        </w:tc>
      </w:tr>
      <w:tr>
        <w:tc>
          <w:tcPr>
            <w:tcW w:type="dxa" w:w="3360"/>
            <w:tcMar>
              <w:top w:type="dxa" w:w="40"/>
              <w:left w:type="dxa" w:w="90"/>
              <w:bottom w:type="dxa" w:w="40"/>
              <w:right w:type="dxa" w:w="90"/>
            </w:tcMar>
          </w:tcPr>
          <w:p>
            <w:pPr>
              <w:spacing w:after="0" w:line="240"/>
              <w:jc w:val="left"/>
            </w:pPr>
            <w:r>
              <w:rPr>
                <w:b w:val="false"/>
                <w:bCs w:val="false"/>
                <w:sz w:val="18"/>
                <w:szCs w:val="18"/>
              </w:rPr>
              <w:t xml:space="preserve">+12 months</w:t>
            </w:r>
          </w:p>
        </w:tc>
        <w:tc>
          <w:tcPr>
            <w:tcW w:type="dxa" w:w="3000"/>
            <w:tcMar>
              <w:top w:type="dxa" w:w="40"/>
              <w:left w:type="dxa" w:w="90"/>
              <w:bottom w:type="dxa" w:w="40"/>
              <w:right w:type="dxa" w:w="90"/>
            </w:tcMar>
          </w:tcPr>
          <w:p>
            <w:pPr>
              <w:spacing w:after="0" w:line="240"/>
              <w:jc w:val="center"/>
            </w:pPr>
            <w:r>
              <w:rPr>
                <w:b w:val="false"/>
                <w:bCs w:val="false"/>
                <w:sz w:val="18"/>
                <w:szCs w:val="18"/>
              </w:rPr>
              <w:t xml:space="preserve">≈ 9.3 M</w:t>
            </w:r>
          </w:p>
        </w:tc>
        <w:tc>
          <w:tcPr>
            <w:tcW w:type="dxa" w:w="3000"/>
            <w:tcMar>
              <w:top w:type="dxa" w:w="40"/>
              <w:left w:type="dxa" w:w="90"/>
              <w:bottom w:type="dxa" w:w="40"/>
              <w:right w:type="dxa" w:w="90"/>
            </w:tcMar>
          </w:tcPr>
          <w:p>
            <w:pPr>
              <w:spacing w:after="0" w:line="240"/>
              <w:jc w:val="center"/>
            </w:pPr>
            <w:r>
              <w:rPr>
                <w:b w:val="false"/>
                <w:bCs w:val="false"/>
                <w:sz w:val="18"/>
                <w:szCs w:val="18"/>
              </w:rPr>
              <w:t xml:space="preserve">8.7 M – 9.8 M</w:t>
            </w:r>
          </w:p>
        </w:tc>
      </w:tr>
    </w:tbl>
    <w:p>
      <w:pPr>
        <w:spacing w:after="120" w:line="276"/>
      </w:pPr>
      <w:r>
        <w:rPr>
          <w:sz w:val="21"/>
          <w:szCs w:val="21"/>
        </w:rPr>
        <w:t xml:space="preserve">Six points over eighteen months is a thin basis; the exponential assumption overstates long horizons if growth slows, and the interval widens accordingly.</w:t>
      </w:r>
    </w:p>
    <w:p>
      <w:pPr>
        <w:pStyle w:val="Heading2"/>
        <w:spacing w:after="100" w:before="240"/>
      </w:pPr>
      <w:r>
        <w:rPr>
          <w:b/>
          <w:bCs/>
          <w:color w:val="1F5C8B"/>
        </w:rPr>
        <w:t xml:space="preserve">5.6 Scenario support assessment (Table IV)</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600"/>
        <w:gridCol w:w="1600"/>
        <w:gridCol w:w="5160"/>
      </w:tblGrid>
      <w:tr>
        <w:trPr>
          <w:tblHeader/>
        </w:trPr>
        <w:tc>
          <w:tcPr>
            <w:tcW w:type="dxa" w:w="2600"/>
            <w:shd w:fill="E8EEF4" w:color="auto" w:val="clear"/>
            <w:tcMar>
              <w:top w:type="dxa" w:w="40"/>
              <w:left w:type="dxa" w:w="90"/>
              <w:bottom w:type="dxa" w:w="40"/>
              <w:right w:type="dxa" w:w="90"/>
            </w:tcMar>
          </w:tcPr>
          <w:p>
            <w:pPr>
              <w:spacing w:after="0" w:line="240"/>
              <w:jc w:val="left"/>
            </w:pPr>
            <w:r>
              <w:rPr>
                <w:b/>
                <w:bCs/>
                <w:sz w:val="18"/>
                <w:szCs w:val="18"/>
              </w:rPr>
              <w:t xml:space="preserve">Scenario</w:t>
            </w:r>
          </w:p>
        </w:tc>
        <w:tc>
          <w:tcPr>
            <w:tcW w:type="dxa" w:w="1600"/>
            <w:shd w:fill="E8EEF4" w:color="auto" w:val="clear"/>
            <w:tcMar>
              <w:top w:type="dxa" w:w="40"/>
              <w:left w:type="dxa" w:w="90"/>
              <w:bottom w:type="dxa" w:w="40"/>
              <w:right w:type="dxa" w:w="90"/>
            </w:tcMar>
          </w:tcPr>
          <w:p>
            <w:pPr>
              <w:spacing w:after="0" w:line="240"/>
              <w:jc w:val="center"/>
            </w:pPr>
            <w:r>
              <w:rPr>
                <w:b/>
                <w:bCs/>
                <w:sz w:val="18"/>
                <w:szCs w:val="18"/>
              </w:rPr>
              <w:t xml:space="preserve">Supported?</w:t>
            </w:r>
          </w:p>
        </w:tc>
        <w:tc>
          <w:tcPr>
            <w:tcW w:type="dxa" w:w="5160"/>
            <w:shd w:fill="E8EEF4" w:color="auto" w:val="clear"/>
            <w:tcMar>
              <w:top w:type="dxa" w:w="40"/>
              <w:left w:type="dxa" w:w="90"/>
              <w:bottom w:type="dxa" w:w="40"/>
              <w:right w:type="dxa" w:w="90"/>
            </w:tcMar>
          </w:tcPr>
          <w:p>
            <w:pPr>
              <w:spacing w:after="0" w:line="240"/>
              <w:jc w:val="center"/>
            </w:pPr>
            <w:r>
              <w:rPr>
                <w:b/>
                <w:bCs/>
                <w:sz w:val="18"/>
                <w:szCs w:val="18"/>
              </w:rPr>
              <w:t xml:space="preserve">Why</w:t>
            </w:r>
          </w:p>
        </w:tc>
      </w:tr>
      <w:tr>
        <w:tc>
          <w:tcPr>
            <w:tcW w:type="dxa" w:w="2600"/>
            <w:tcMar>
              <w:top w:type="dxa" w:w="40"/>
              <w:left w:type="dxa" w:w="90"/>
              <w:bottom w:type="dxa" w:w="40"/>
              <w:right w:type="dxa" w:w="90"/>
            </w:tcMar>
          </w:tcPr>
          <w:p>
            <w:pPr>
              <w:spacing w:after="0" w:line="240"/>
              <w:jc w:val="left"/>
            </w:pPr>
            <w:r>
              <w:rPr>
                <w:b w:val="false"/>
                <w:bCs w:val="false"/>
                <w:sz w:val="18"/>
                <w:szCs w:val="18"/>
              </w:rPr>
              <w:t xml:space="preserve">A — Base case</w:t>
            </w:r>
          </w:p>
        </w:tc>
        <w:tc>
          <w:tcPr>
            <w:tcW w:type="dxa" w:w="1600"/>
            <w:tcMar>
              <w:top w:type="dxa" w:w="40"/>
              <w:left w:type="dxa" w:w="90"/>
              <w:bottom w:type="dxa" w:w="40"/>
              <w:right w:type="dxa" w:w="90"/>
            </w:tcMar>
          </w:tcPr>
          <w:p>
            <w:pPr>
              <w:spacing w:after="0" w:line="240"/>
              <w:jc w:val="center"/>
            </w:pPr>
            <w:r>
              <w:rPr>
                <w:b w:val="false"/>
                <w:bCs w:val="false"/>
                <w:sz w:val="18"/>
                <w:szCs w:val="18"/>
              </w:rPr>
              <w:t xml:space="preserve">Yes</w:t>
            </w:r>
          </w:p>
        </w:tc>
        <w:tc>
          <w:tcPr>
            <w:tcW w:type="dxa" w:w="5160"/>
            <w:tcMar>
              <w:top w:type="dxa" w:w="40"/>
              <w:left w:type="dxa" w:w="90"/>
              <w:bottom w:type="dxa" w:w="40"/>
              <w:right w:type="dxa" w:w="90"/>
            </w:tcMar>
          </w:tcPr>
          <w:p>
            <w:pPr>
              <w:spacing w:after="0" w:line="240"/>
              <w:jc w:val="center"/>
            </w:pPr>
            <w:r>
              <w:rPr>
                <w:b w:val="false"/>
                <w:bCs w:val="false"/>
                <w:sz w:val="18"/>
                <w:szCs w:val="18"/>
              </w:rPr>
              <w:t xml:space="preserve">Direct model application</w:t>
            </w:r>
          </w:p>
        </w:tc>
      </w:tr>
      <w:tr>
        <w:tc>
          <w:tcPr>
            <w:tcW w:type="dxa" w:w="2600"/>
            <w:tcMar>
              <w:top w:type="dxa" w:w="40"/>
              <w:left w:type="dxa" w:w="90"/>
              <w:bottom w:type="dxa" w:w="40"/>
              <w:right w:type="dxa" w:w="90"/>
            </w:tcMar>
          </w:tcPr>
          <w:p>
            <w:pPr>
              <w:spacing w:after="0" w:line="240"/>
              <w:jc w:val="left"/>
            </w:pPr>
            <w:r>
              <w:rPr>
                <w:b w:val="false"/>
                <w:bCs w:val="false"/>
                <w:sz w:val="18"/>
                <w:szCs w:val="18"/>
              </w:rPr>
              <w:t xml:space="preserve">B — Subsidy +10%</w:t>
            </w:r>
          </w:p>
        </w:tc>
        <w:tc>
          <w:tcPr>
            <w:tcW w:type="dxa" w:w="1600"/>
            <w:tcMar>
              <w:top w:type="dxa" w:w="40"/>
              <w:left w:type="dxa" w:w="90"/>
              <w:bottom w:type="dxa" w:w="40"/>
              <w:right w:type="dxa" w:w="90"/>
            </w:tcMar>
          </w:tcPr>
          <w:p>
            <w:pPr>
              <w:spacing w:after="0" w:line="240"/>
              <w:jc w:val="center"/>
            </w:pPr>
            <w:r>
              <w:rPr>
                <w:b w:val="false"/>
                <w:bCs w:val="false"/>
                <w:sz w:val="18"/>
                <w:szCs w:val="18"/>
              </w:rPr>
              <w:t xml:space="preserve">No</w:t>
            </w:r>
          </w:p>
        </w:tc>
        <w:tc>
          <w:tcPr>
            <w:tcW w:type="dxa" w:w="5160"/>
            <w:tcMar>
              <w:top w:type="dxa" w:w="40"/>
              <w:left w:type="dxa" w:w="90"/>
              <w:bottom w:type="dxa" w:w="40"/>
              <w:right w:type="dxa" w:w="90"/>
            </w:tcMar>
          </w:tcPr>
          <w:p>
            <w:pPr>
              <w:spacing w:after="0" w:line="240"/>
              <w:jc w:val="center"/>
            </w:pPr>
            <w:r>
              <w:rPr>
                <w:b w:val="false"/>
                <w:bCs w:val="false"/>
                <w:sz w:val="18"/>
                <w:szCs w:val="18"/>
              </w:rPr>
              <w:t xml:space="preserve">Subsidy top-up data scoped out; model has no subsidy feature</w:t>
            </w:r>
          </w:p>
        </w:tc>
      </w:tr>
      <w:tr>
        <w:tc>
          <w:tcPr>
            <w:tcW w:type="dxa" w:w="2600"/>
            <w:tcMar>
              <w:top w:type="dxa" w:w="40"/>
              <w:left w:type="dxa" w:w="90"/>
              <w:bottom w:type="dxa" w:w="40"/>
              <w:right w:type="dxa" w:w="90"/>
            </w:tcMar>
          </w:tcPr>
          <w:p>
            <w:pPr>
              <w:spacing w:after="0" w:line="240"/>
              <w:jc w:val="left"/>
            </w:pPr>
            <w:r>
              <w:rPr>
                <w:b w:val="false"/>
                <w:bCs w:val="false"/>
                <w:sz w:val="18"/>
                <w:szCs w:val="18"/>
              </w:rPr>
              <w:t xml:space="preserve">C — High-potential targeting</w:t>
            </w:r>
          </w:p>
        </w:tc>
        <w:tc>
          <w:tcPr>
            <w:tcW w:type="dxa" w:w="1600"/>
            <w:tcMar>
              <w:top w:type="dxa" w:w="40"/>
              <w:left w:type="dxa" w:w="90"/>
              <w:bottom w:type="dxa" w:w="40"/>
              <w:right w:type="dxa" w:w="90"/>
            </w:tcMar>
          </w:tcPr>
          <w:p>
            <w:pPr>
              <w:spacing w:after="0" w:line="240"/>
              <w:jc w:val="center"/>
            </w:pPr>
            <w:r>
              <w:rPr>
                <w:b w:val="false"/>
                <w:bCs w:val="false"/>
                <w:sz w:val="18"/>
                <w:szCs w:val="18"/>
              </w:rPr>
              <w:t xml:space="preserve">Yes</w:t>
            </w:r>
          </w:p>
        </w:tc>
        <w:tc>
          <w:tcPr>
            <w:tcW w:type="dxa" w:w="5160"/>
            <w:tcMar>
              <w:top w:type="dxa" w:w="40"/>
              <w:left w:type="dxa" w:w="90"/>
              <w:bottom w:type="dxa" w:w="40"/>
              <w:right w:type="dxa" w:w="90"/>
            </w:tcMar>
          </w:tcPr>
          <w:p>
            <w:pPr>
              <w:spacing w:after="0" w:line="240"/>
              <w:jc w:val="center"/>
            </w:pPr>
            <w:r>
              <w:rPr>
                <w:b w:val="false"/>
                <w:bCs w:val="false"/>
                <w:sz w:val="18"/>
                <w:szCs w:val="18"/>
              </w:rPr>
              <w:t xml:space="preserve">Data-driven high-potential, low-conversion states</w:t>
            </w:r>
          </w:p>
        </w:tc>
      </w:tr>
      <w:tr>
        <w:tc>
          <w:tcPr>
            <w:tcW w:type="dxa" w:w="2600"/>
            <w:tcMar>
              <w:top w:type="dxa" w:w="40"/>
              <w:left w:type="dxa" w:w="90"/>
              <w:bottom w:type="dxa" w:w="40"/>
              <w:right w:type="dxa" w:w="90"/>
            </w:tcMar>
          </w:tcPr>
          <w:p>
            <w:pPr>
              <w:spacing w:after="0" w:line="240"/>
              <w:jc w:val="left"/>
            </w:pPr>
            <w:r>
              <w:rPr>
                <w:b w:val="false"/>
                <w:bCs w:val="false"/>
                <w:sz w:val="18"/>
                <w:szCs w:val="18"/>
              </w:rPr>
              <w:t xml:space="preserve">D — Tariff increase</w:t>
            </w:r>
          </w:p>
        </w:tc>
        <w:tc>
          <w:tcPr>
            <w:tcW w:type="dxa" w:w="1600"/>
            <w:tcMar>
              <w:top w:type="dxa" w:w="40"/>
              <w:left w:type="dxa" w:w="90"/>
              <w:bottom w:type="dxa" w:w="40"/>
              <w:right w:type="dxa" w:w="90"/>
            </w:tcMar>
          </w:tcPr>
          <w:p>
            <w:pPr>
              <w:spacing w:after="0" w:line="240"/>
              <w:jc w:val="center"/>
            </w:pPr>
            <w:r>
              <w:rPr>
                <w:b w:val="false"/>
                <w:bCs w:val="false"/>
                <w:sz w:val="18"/>
                <w:szCs w:val="18"/>
              </w:rPr>
              <w:t xml:space="preserve">Yes</w:t>
            </w:r>
          </w:p>
        </w:tc>
        <w:tc>
          <w:tcPr>
            <w:tcW w:type="dxa" w:w="5160"/>
            <w:tcMar>
              <w:top w:type="dxa" w:w="40"/>
              <w:left w:type="dxa" w:w="90"/>
              <w:bottom w:type="dxa" w:w="40"/>
              <w:right w:type="dxa" w:w="90"/>
            </w:tcMar>
          </w:tcPr>
          <w:p>
            <w:pPr>
              <w:spacing w:after="0" w:line="240"/>
              <w:jc w:val="center"/>
            </w:pPr>
            <w:r>
              <w:rPr>
                <w:b w:val="false"/>
                <w:bCs w:val="false"/>
                <w:sz w:val="18"/>
                <w:szCs w:val="18"/>
              </w:rPr>
              <w:t xml:space="preserve">Uses the fitted tariff-growth coefficient directly</w:t>
            </w:r>
          </w:p>
        </w:tc>
      </w:tr>
      <w:tr>
        <w:tc>
          <w:tcPr>
            <w:tcW w:type="dxa" w:w="2600"/>
            <w:tcMar>
              <w:top w:type="dxa" w:w="40"/>
              <w:left w:type="dxa" w:w="90"/>
              <w:bottom w:type="dxa" w:w="40"/>
              <w:right w:type="dxa" w:w="90"/>
            </w:tcMar>
          </w:tcPr>
          <w:p>
            <w:pPr>
              <w:spacing w:after="0" w:line="240"/>
              <w:jc w:val="left"/>
            </w:pPr>
            <w:r>
              <w:rPr>
                <w:b w:val="false"/>
                <w:bCs w:val="false"/>
                <w:sz w:val="18"/>
                <w:szCs w:val="18"/>
              </w:rPr>
              <w:t xml:space="preserve">E — Combined</w:t>
            </w:r>
          </w:p>
        </w:tc>
        <w:tc>
          <w:tcPr>
            <w:tcW w:type="dxa" w:w="1600"/>
            <w:tcMar>
              <w:top w:type="dxa" w:w="40"/>
              <w:left w:type="dxa" w:w="90"/>
              <w:bottom w:type="dxa" w:w="40"/>
              <w:right w:type="dxa" w:w="90"/>
            </w:tcMar>
          </w:tcPr>
          <w:p>
            <w:pPr>
              <w:spacing w:after="0" w:line="240"/>
              <w:jc w:val="center"/>
            </w:pPr>
            <w:r>
              <w:rPr>
                <w:b w:val="false"/>
                <w:bCs w:val="false"/>
                <w:sz w:val="18"/>
                <w:szCs w:val="18"/>
              </w:rPr>
              <w:t xml:space="preserve">Partial</w:t>
            </w:r>
          </w:p>
        </w:tc>
        <w:tc>
          <w:tcPr>
            <w:tcW w:type="dxa" w:w="5160"/>
            <w:tcMar>
              <w:top w:type="dxa" w:w="40"/>
              <w:left w:type="dxa" w:w="90"/>
              <w:bottom w:type="dxa" w:w="40"/>
              <w:right w:type="dxa" w:w="90"/>
            </w:tcMar>
          </w:tcPr>
          <w:p>
            <w:pPr>
              <w:spacing w:after="0" w:line="240"/>
              <w:jc w:val="center"/>
            </w:pPr>
            <w:r>
              <w:rPr>
                <w:b w:val="false"/>
                <w:bCs w:val="false"/>
                <w:sz w:val="18"/>
                <w:szCs w:val="18"/>
              </w:rPr>
              <w:t xml:space="preserve">Tariff component only; subsidy part inherits B’s limit</w:t>
            </w:r>
          </w:p>
        </w:tc>
      </w:tr>
    </w:tbl>
    <w:p>
      <w:pPr>
        <w:spacing w:after="120" w:line="276"/>
      </w:pPr>
      <w:r>
        <w:rPr>
          <w:sz w:val="21"/>
          <w:szCs w:val="21"/>
        </w:rPr>
        <w:t xml:space="preserve">Scenario D implies ~+6 pp conversion at a +5 pp tariff-growth shock, +12 pp at +10 pp, +19 pp at +15 pp. Because the model is linear with no interaction terms, this uniformity across states is a modeling limitation, not a real-world claim. All scenario results are “predicted under model assumptions,” not causal.</w:t>
      </w:r>
    </w:p>
    <w:p>
      <w:pPr>
        <w:pStyle w:val="Heading2"/>
        <w:spacing w:after="100" w:before="240"/>
      </w:pPr>
      <w:r>
        <w:rPr>
          <w:b/>
          <w:bCs/>
          <w:color w:val="1F5C8B"/>
        </w:rPr>
        <w:t xml:space="preserve">5.7 AI-assistant evaluation</w:t>
      </w:r>
    </w:p>
    <w:p>
      <w:pPr>
        <w:spacing w:after="120" w:line="276"/>
      </w:pPr>
      <w:r>
        <w:rPr>
          <w:sz w:val="21"/>
          <w:szCs w:val="21"/>
        </w:rPr>
        <w:t xml:space="preserve">The assistant passes 17/17 functional evals with citation correctness 1.0 and hallucination rate 0.0 (every answer grounded in a named source), at ~30 ms median latency offline. A feature-verification harness confirms 24/24 report-specified capabilities operate end-to-end, including the FastAPI orchestration path.</w:t>
      </w:r>
    </w:p>
    <w:p>
      <w:pPr>
        <w:pStyle w:val="Heading1"/>
        <w:spacing w:after="100" w:before="240"/>
      </w:pPr>
      <w:r>
        <w:rPr>
          <w:b/>
          <w:bCs/>
          <w:color w:val="1F5C8B"/>
        </w:rPr>
        <w:t xml:space="preserve">6. Policy Implications</w:t>
      </w:r>
    </w:p>
    <w:p>
      <w:pPr>
        <w:pStyle w:val="ListParagraph"/>
        <w:numPr>
          <w:ilvl w:val="0"/>
          <w:numId w:val="1"/>
        </w:numPr>
        <w:spacing w:after="60" w:line="268"/>
      </w:pPr>
      <w:r>
        <w:rPr>
          <w:sz w:val="21"/>
          <w:szCs w:val="21"/>
        </w:rPr>
        <w:t xml:space="preserve">Subsidy size is not the binding constraint. Subsidy/tariff level ranks among the weakest predictors; raising headline subsidy alone would do little — reproducing the subsidy-paradox pattern three independent Indian studies converge on.</w:t>
      </w:r>
    </w:p>
    <w:p>
      <w:pPr>
        <w:pStyle w:val="ListParagraph"/>
        <w:numPr>
          <w:ilvl w:val="0"/>
          <w:numId w:val="1"/>
        </w:numPr>
        <w:spacing w:after="60" w:line="268"/>
      </w:pPr>
      <w:r>
        <w:rPr>
          <w:sz w:val="21"/>
          <w:szCs w:val="21"/>
        </w:rPr>
        <w:t xml:space="preserve">Tariff-growth dynamics and resource endowment are the real levers. Tariff growth and solar irradiance are the strongest correlates of conversion — administrative/market dynamics and physical resource, not incentive generosity, separate high- from low-converting states.</w:t>
      </w:r>
    </w:p>
    <w:p>
      <w:pPr>
        <w:pStyle w:val="ListParagraph"/>
        <w:numPr>
          <w:ilvl w:val="0"/>
          <w:numId w:val="1"/>
        </w:numPr>
        <w:spacing w:after="60" w:line="268"/>
      </w:pPr>
      <w:r>
        <w:rPr>
          <w:sz w:val="21"/>
          <w:szCs w:val="21"/>
        </w:rPr>
        <w:t xml:space="preserve">Target high-potential, low-conversion states. A data-driven targeting set (Scenario C) is the highest-leverage intervention; a blanket subsidy increase (Scenario B) cannot even be supported by the available data.</w:t>
      </w:r>
    </w:p>
    <w:p>
      <w:pPr>
        <w:pStyle w:val="Heading1"/>
        <w:spacing w:after="100" w:before="240"/>
      </w:pPr>
      <w:r>
        <w:rPr>
          <w:b/>
          <w:bCs/>
          <w:color w:val="1F5C8B"/>
        </w:rPr>
        <w:t xml:space="preserve">7. Limitations</w:t>
      </w:r>
    </w:p>
    <w:p>
      <w:pPr>
        <w:pStyle w:val="ListParagraph"/>
        <w:numPr>
          <w:ilvl w:val="0"/>
          <w:numId w:val="1"/>
        </w:numPr>
        <w:spacing w:after="60" w:line="268"/>
      </w:pPr>
      <w:r>
        <w:rPr>
          <w:sz w:val="21"/>
          <w:szCs w:val="21"/>
        </w:rPr>
        <w:t xml:space="preserve">Small sample size: 28–35 states is limited for a six-feature model; the RandomForest result is a caution against overfitting, not a claim about larger-sample feature importance.</w:t>
      </w:r>
    </w:p>
    <w:p>
      <w:pPr>
        <w:pStyle w:val="ListParagraph"/>
        <w:numPr>
          <w:ilvl w:val="0"/>
          <w:numId w:val="1"/>
        </w:numPr>
        <w:spacing w:after="60" w:line="268"/>
      </w:pPr>
      <w:r>
        <w:rPr>
          <w:sz w:val="21"/>
          <w:szCs w:val="21"/>
        </w:rPr>
        <w:t xml:space="preserve">Cross-sectional, not longitudinal: all modeling uses a single dated snapshot (23 Aug 2026); temporal stability of the tariff-growth/irradiance relationship is untested.</w:t>
      </w:r>
    </w:p>
    <w:p>
      <w:pPr>
        <w:pStyle w:val="ListParagraph"/>
        <w:numPr>
          <w:ilvl w:val="0"/>
          <w:numId w:val="1"/>
        </w:numPr>
        <w:spacing w:after="60" w:line="268"/>
      </w:pPr>
      <w:r>
        <w:rPr>
          <w:sz w:val="21"/>
          <w:szCs w:val="21"/>
        </w:rPr>
        <w:t xml:space="preserve">Correlational, not causal: no relationship should be read causally without an identification strategy (e.g., difference-in-differences around a tariff-policy change).</w:t>
      </w:r>
    </w:p>
    <w:p>
      <w:pPr>
        <w:pStyle w:val="ListParagraph"/>
        <w:numPr>
          <w:ilvl w:val="0"/>
          <w:numId w:val="1"/>
        </w:numPr>
        <w:spacing w:after="60" w:line="268"/>
      </w:pPr>
      <w:r>
        <w:rPr>
          <w:sz w:val="21"/>
          <w:szCs w:val="21"/>
        </w:rPr>
        <w:t xml:space="preserve">Limited historical depth: only six dated national figures over eighteen months constrain the forecast; the national series should be verified against the cited PIB / Rajya Sabha releases.</w:t>
      </w:r>
    </w:p>
    <w:p>
      <w:pPr>
        <w:pStyle w:val="ListParagraph"/>
        <w:numPr>
          <w:ilvl w:val="0"/>
          <w:numId w:val="1"/>
        </w:numPr>
        <w:spacing w:after="60" w:line="268"/>
      </w:pPr>
      <w:r>
        <w:rPr>
          <w:sz w:val="21"/>
          <w:szCs w:val="21"/>
        </w:rPr>
        <w:t xml:space="preserve">Missing subsidy and net-metering data: two Tier-1 datasets were deliberately not collected (no centralized source), which is why Scenario B is reported unsupportable rather than simulated.</w:t>
      </w:r>
    </w:p>
    <w:p>
      <w:pPr>
        <w:pStyle w:val="ListParagraph"/>
        <w:numPr>
          <w:ilvl w:val="0"/>
          <w:numId w:val="1"/>
        </w:numPr>
        <w:spacing w:after="60" w:line="268"/>
      </w:pPr>
      <w:r>
        <w:rPr>
          <w:sz w:val="21"/>
          <w:szCs w:val="21"/>
        </w:rPr>
        <w:t xml:space="preserve">Source disagreement and no population normalization: official releases disagree for close dates (treated as dated snapshots, not reconciled); state population was not collected, so per-capita rates are not reported.</w:t>
      </w:r>
    </w:p>
    <w:p>
      <w:pPr>
        <w:pStyle w:val="Heading1"/>
        <w:spacing w:after="100" w:before="240"/>
      </w:pPr>
      <w:r>
        <w:rPr>
          <w:b/>
          <w:bCs/>
          <w:color w:val="1F5C8B"/>
        </w:rPr>
        <w:t xml:space="preserve">8. Conclusion</w:t>
      </w:r>
    </w:p>
    <w:p>
      <w:pPr>
        <w:spacing w:after="120" w:line="276"/>
      </w:pPr>
      <w:r>
        <w:rPr>
          <w:sz w:val="21"/>
          <w:szCs w:val="21"/>
        </w:rPr>
        <w:t xml:space="preserve">The strongest, most consistent finding across every method tried is that subsidy/tariff level is not the dominant driver of state conversion variation — tariff-growth dynamics and solar irradiance are — and a simple two-feature linear model outperforms a richer six-feature RandomForest under proper small-sample validation, reinforcing a pattern visible across the literature once sample size is accounted for. Wrapped in a cited, guardrailed, evaluated AI assistant served over FastAPI, the analysis is operationalised as a decision-support tool. Future work should, in order: collect state-level subsidy top-up data to properly test Scenario B; obtain a second aligned snapshot to test temporal stability; add population data for per-capita normalization; and extend the RAG assistant while enforcing the same correlational-not-causal and Scenario-B-unsupported caveats.</w:t>
      </w:r>
    </w:p>
    <w:p>
      <w:pPr>
        <w:spacing w:after="120" w:line="276"/>
      </w:pPr>
      <w:r>
        <w:rPr>
          <w:b/>
          <w:bCs/>
          <w:sz w:val="21"/>
          <w:szCs w:val="21"/>
        </w:rPr>
        <w:t xml:space="preserve">Suggested venues: </w:t>
      </w:r>
      <w:r>
        <w:rPr>
          <w:i/>
          <w:iCs/>
          <w:sz w:val="21"/>
          <w:szCs w:val="21"/>
        </w:rPr>
        <w:t xml:space="preserve">Energy Policy, Applied Energy, ACM e-Energy.</w:t>
      </w:r>
    </w:p>
    <w:p>
      <w:pPr>
        <w:pStyle w:val="Heading1"/>
        <w:spacing w:after="100" w:before="240"/>
      </w:pPr>
      <w:r>
        <w:rPr>
          <w:b/>
          <w:bCs/>
          <w:color w:val="1F5C8B"/>
        </w:rPr>
        <w:t xml:space="preserve">Reproducibility</w:t>
      </w:r>
    </w:p>
    <w:p>
      <w:pPr>
        <w:spacing w:after="120" w:line="276"/>
      </w:pPr>
      <w:r>
        <w:rPr>
          <w:color w:val="666666"/>
          <w:sz w:val="20"/>
          <w:szCs w:val="20"/>
        </w:rPr>
        <w:t xml:space="preserve">All figures are produced by the repository: build_panel.py (data) → paper_analysis.py (Tables I–IV → paper_results.json) → ai/evals.py (§5.7) → ai/verify_report.py. Reproduced values differ marginally from the submitted paper’s (e.g., linear LOO-CV MAE 0.143 vs. 0.135, RandomForest 0.164 vs. 0.161) due to documented pipeline choices (tariff aggregation, DISCOM-row exclusion), but the ranking and conclusions are identical: the two-feature linear model wins and subsidy level is a weak predictor.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pPr>
    <w:rPr>
      <w:b/>
      <w:bCs/>
      <w:color w:val="1F5C8B"/>
      <w:sz w:val="28"/>
      <w:szCs w:val="28"/>
    </w:rPr>
  </w:style>
  <w:style w:type="paragraph" w:styleId="Heading2">
    <w:name w:val="Heading 2"/>
    <w:basedOn w:val="Normal"/>
    <w:next w:val="Normal"/>
    <w:qFormat/>
    <w:pPr>
      <w:spacing w:after="60" w:before="160"/>
    </w:pPr>
    <w:rPr>
      <w:b/>
      <w:bCs/>
      <w:color w:val="1F5C8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SuryaIQ Research Report</dc:title>
  <dc:creator>SuryaIQ</dc:creator>
  <cp:lastModifiedBy>Un-named</cp:lastModifiedBy>
  <cp:revision>1</cp:revision>
  <dcterms:created xsi:type="dcterms:W3CDTF">2026-10-22T06:11:51.436Z</dcterms:created>
  <dcterms:modified xsi:type="dcterms:W3CDTF">2026-10-22T06:11:51.437Z</dcterms:modified>
</cp:coreProperties>
</file>

<file path=docProps/custom.xml><?xml version="1.0" encoding="utf-8"?>
<Properties xmlns="http://schemas.openxmlformats.org/officeDocument/2006/custom-properties" xmlns:vt="http://schemas.openxmlformats.org/officeDocument/2006/docPropsVTypes"/>
</file>