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pPr>
      <w:r>
        <w:rPr>
          <w:rFonts w:ascii="Aptos Display" w:hAnsi="Aptos Display"/>
          <w:b/>
          <w:color w:val="000000"/>
          <w:sz w:val="48"/>
        </w:rPr>
        <w:t>Request for Quotation</w:t>
      </w:r>
    </w:p>
    <w:p>
      <w:pPr>
        <w:jc w:val="center"/>
        <w:widowControl/>
      </w:pPr>
      <w:r>
        <w:rPr>
          <w:b/>
          <w:color w:val="000000"/>
          <w:sz w:val="24"/>
        </w:rPr>
        <w:t>Steel Mounting Bracket for Electric Vehicle Application</w:t>
      </w:r>
    </w:p>
    <w:p>
      <w:pPr>
        <w:widowControl/>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RFQ detail</w:t>
            </w:r>
          </w:p>
        </w:tc>
        <w:tc>
          <w:tcPr>
            <w:tcW w:type="dxa" w:w="691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9"/>
              </w:rPr>
              <w:t>Requirement</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9"/>
              </w:rPr>
              <w:t>Issuing company</w:t>
            </w:r>
          </w:p>
        </w:tc>
        <w:tc>
          <w:tcPr>
            <w:tcW w:type="dxa" w:w="69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9"/>
              </w:rPr>
              <w:t>VoltEdge Mobility Components Private Limited</w:t>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9"/>
              </w:rPr>
              <w:t>RFQ reference</w:t>
            </w:r>
          </w:p>
        </w:tc>
        <w:tc>
          <w:tcPr>
            <w:tcW w:type="dxa" w:w="69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9"/>
              </w:rPr>
              <w:t>VEMC SCM 2026 041</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9"/>
              </w:rPr>
              <w:t>Issue date</w:t>
            </w:r>
          </w:p>
        </w:tc>
        <w:tc>
          <w:tcPr>
            <w:tcW w:type="dxa" w:w="69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9"/>
              </w:rPr>
              <w:t>5 October 2026</w:t>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9"/>
              </w:rPr>
              <w:t>Quotation due</w:t>
            </w:r>
          </w:p>
        </w:tc>
        <w:tc>
          <w:tcPr>
            <w:tcW w:type="dxa" w:w="69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9"/>
              </w:rPr>
              <w:t>19 October 2026 by 17:00 IST</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9"/>
              </w:rPr>
              <w:t>Indicative award date</w:t>
            </w:r>
          </w:p>
        </w:tc>
        <w:tc>
          <w:tcPr>
            <w:tcW w:type="dxa" w:w="69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9"/>
              </w:rPr>
              <w:t>30 October 2026</w:t>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9"/>
              </w:rPr>
              <w:t>Indicative start of production</w:t>
            </w:r>
          </w:p>
        </w:tc>
        <w:tc>
          <w:tcPr>
            <w:tcW w:type="dxa" w:w="69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9"/>
              </w:rPr>
              <w:t>16 November 2026, subject to PPAP approval</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9"/>
              </w:rPr>
              <w:t>Contract quantity</w:t>
            </w:r>
          </w:p>
        </w:tc>
        <w:tc>
          <w:tcPr>
            <w:tcW w:type="dxa" w:w="69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9"/>
              </w:rPr>
              <w:t>10,000 production units over three months</w:t>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9"/>
              </w:rPr>
              <w:t>Delivery model</w:t>
            </w:r>
          </w:p>
        </w:tc>
        <w:tc>
          <w:tcPr>
            <w:tcW w:type="dxa" w:w="69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9"/>
              </w:rPr>
              <w:t>JIT delivery to buyer plant every three days</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9"/>
              </w:rPr>
              <w:t>Commercial terms</w:t>
            </w:r>
          </w:p>
        </w:tc>
        <w:tc>
          <w:tcPr>
            <w:tcW w:type="dxa" w:w="69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9"/>
              </w:rPr>
              <w:t>INR, GST extra, freight included, payment 60 days</w:t>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9"/>
              </w:rPr>
              <w:t>RFQ contact</w:t>
            </w:r>
          </w:p>
        </w:tc>
        <w:tc>
          <w:tcPr>
            <w:tcW w:type="dxa" w:w="69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9"/>
              </w:rPr>
              <w:t>Head Supply Chain, sourcing@voltedge-example.com</w:t>
            </w:r>
          </w:p>
        </w:tc>
      </w:tr>
    </w:tbl>
    <w:p>
      <w:pPr>
        <w:spacing w:after="0"/>
        <w:widowControl/>
      </w:pPr>
    </w:p>
    <w:p>
      <w:pPr>
        <w:pStyle w:val="BodyText"/>
        <w:widowControl/>
      </w:pPr>
      <w:r>
        <w:t>This document invites qualified sheet metal and precision-engineering suppliers to submit a complete technical and commercial quotation for an automotive steel bracket. The selected supplier must demonstrate capable manufacturing processes, stable quality systems, adequate liquidity for a 60-day payment cycle, and reliable JIT supply every three days.</w:t>
      </w:r>
    </w:p>
    <w:p>
      <w:pPr>
        <w:pStyle w:val="BodyText"/>
        <w:widowControl/>
      </w:pPr>
      <w:r>
        <w:t>All names, references, dates and specifications in this sample RFQ are illustrative. The released drawing, approved material specification and purchase order will prevail over this document where expressly stated.</w:t>
      </w:r>
    </w:p>
    <w:p>
      <w:pPr>
        <w:widowControl/>
      </w:pPr>
      <w:r>
        <w:br w:type="page"/>
      </w:r>
    </w:p>
    <w:p>
      <w:pPr>
        <w:pStyle w:val="Heading1"/>
        <w:keepNext/>
        <w:widowControl/>
      </w:pPr>
      <w:r>
        <w:rPr>
          <w:color w:val="000000"/>
        </w:rPr>
        <w:t>Document control</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100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Revision</w:t>
            </w:r>
          </w:p>
        </w:tc>
        <w:tc>
          <w:tcPr>
            <w:tcW w:type="dxa" w:w="172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Date</w:t>
            </w:r>
          </w:p>
        </w:tc>
        <w:tc>
          <w:tcPr>
            <w:tcW w:type="dxa" w:w="518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Description</w:t>
            </w:r>
          </w:p>
        </w:tc>
        <w:tc>
          <w:tcPr>
            <w:tcW w:type="dxa" w:w="201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Owner</w:t>
            </w:r>
          </w:p>
        </w:tc>
      </w:tr>
      <w:tr>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0</w:t>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5 October 2026</w:t>
            </w:r>
          </w:p>
        </w:tc>
        <w:tc>
          <w:tcPr>
            <w:tcW w:type="dxa" w:w="51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RFQ issued for supplier quotation</w:t>
            </w:r>
          </w:p>
        </w:tc>
        <w:tc>
          <w:tcPr>
            <w:tcW w:type="dxa" w:w="201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Strategic Sourcing</w:t>
            </w:r>
          </w:p>
        </w:tc>
      </w:tr>
    </w:tbl>
    <w:p>
      <w:pPr>
        <w:spacing w:after="0"/>
        <w:widowControl/>
      </w:pPr>
    </w:p>
    <w:p>
      <w:pPr>
        <w:pStyle w:val="Heading1"/>
        <w:keepNext/>
        <w:widowControl/>
      </w:pPr>
      <w:r>
        <w:rPr>
          <w:color w:val="000000"/>
        </w:rPr>
        <w:t>Submission instructions</w:t>
      </w:r>
    </w:p>
    <w:p>
      <w:pPr>
        <w:pStyle w:val="ListNumber"/>
        <w:widowControl/>
      </w:pPr>
      <w:r>
        <w:t>Submit one signed PDF response and one editable commercial workbook by email to the RFQ contact before the quotation deadline.</w:t>
      </w:r>
    </w:p>
    <w:p>
      <w:pPr>
        <w:pStyle w:val="ListNumber"/>
        <w:widowControl/>
      </w:pPr>
      <w:r>
        <w:t>Use the section numbering and response tables in this RFQ. Clearly identify every exception, assumption and dependency in the deviation schedule.</w:t>
      </w:r>
    </w:p>
    <w:p>
      <w:pPr>
        <w:pStyle w:val="ListNumber"/>
        <w:widowControl/>
      </w:pPr>
      <w:r>
        <w:t>Quote in Indian rupees. Show base part price, raw material, conversion, surface treatment, packaging, freight, tooling and taxes separately.</w:t>
      </w:r>
    </w:p>
    <w:p>
      <w:pPr>
        <w:pStyle w:val="ListNumber"/>
        <w:widowControl/>
      </w:pPr>
      <w:r>
        <w:t>Provide documentary evidence requested in the bid checklist. Redacted documents may be accepted where commercially sensitive, subject to buyer review.</w:t>
      </w:r>
    </w:p>
    <w:p>
      <w:pPr>
        <w:pStyle w:val="ListNumber"/>
        <w:widowControl/>
      </w:pPr>
      <w:r>
        <w:t>Direct technical and commercial questions only to the RFQ contact. Information obtained from other employees will not amend this RFQ unless confirmed in writing.</w:t>
      </w:r>
    </w:p>
    <w:p>
      <w:pPr>
        <w:pStyle w:val="Heading1"/>
        <w:keepNext/>
        <w:widowControl/>
      </w:pPr>
      <w:r>
        <w:rPr>
          <w:color w:val="000000"/>
        </w:rPr>
        <w:t>RFQ contents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15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Section</w:t>
            </w:r>
          </w:p>
        </w:tc>
        <w:tc>
          <w:tcPr>
            <w:tcW w:type="dxa" w:w="878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Topic</w:t>
            </w:r>
          </w:p>
        </w:tc>
      </w:tr>
      <w:tr>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1</w:t>
            </w:r>
          </w:p>
        </w:tc>
        <w:tc>
          <w:tcPr>
            <w:tcW w:type="dxa" w:w="87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Purpose and sourcing context</w:t>
            </w:r>
          </w:p>
        </w:tc>
      </w:tr>
      <w:tr>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2</w:t>
            </w:r>
          </w:p>
        </w:tc>
        <w:tc>
          <w:tcPr>
            <w:tcW w:type="dxa" w:w="87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Scope of supply</w:t>
            </w:r>
          </w:p>
        </w:tc>
      </w:tr>
      <w:tr>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3</w:t>
            </w:r>
          </w:p>
        </w:tc>
        <w:tc>
          <w:tcPr>
            <w:tcW w:type="dxa" w:w="87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Component and technical requirements</w:t>
            </w:r>
          </w:p>
        </w:tc>
      </w:tr>
      <w:tr>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4</w:t>
            </w:r>
          </w:p>
        </w:tc>
        <w:tc>
          <w:tcPr>
            <w:tcW w:type="dxa" w:w="87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Manufacturing process and equipment</w:t>
            </w:r>
          </w:p>
        </w:tc>
      </w:tr>
      <w:tr>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5</w:t>
            </w:r>
          </w:p>
        </w:tc>
        <w:tc>
          <w:tcPr>
            <w:tcW w:type="dxa" w:w="87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Capacity and production readiness</w:t>
            </w:r>
          </w:p>
        </w:tc>
      </w:tr>
      <w:tr>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6</w:t>
            </w:r>
          </w:p>
        </w:tc>
        <w:tc>
          <w:tcPr>
            <w:tcW w:type="dxa" w:w="87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Quality management and product assurance</w:t>
            </w:r>
          </w:p>
        </w:tc>
      </w:tr>
      <w:tr>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7</w:t>
            </w:r>
          </w:p>
        </w:tc>
        <w:tc>
          <w:tcPr>
            <w:tcW w:type="dxa" w:w="87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JIT delivery logistics and packaging</w:t>
            </w:r>
          </w:p>
        </w:tc>
      </w:tr>
      <w:tr>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8</w:t>
            </w:r>
          </w:p>
        </w:tc>
        <w:tc>
          <w:tcPr>
            <w:tcW w:type="dxa" w:w="87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Commercial and payment terms</w:t>
            </w:r>
          </w:p>
        </w:tc>
      </w:tr>
      <w:tr>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9</w:t>
            </w:r>
          </w:p>
        </w:tc>
        <w:tc>
          <w:tcPr>
            <w:tcW w:type="dxa" w:w="87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organization and business health</w:t>
            </w:r>
          </w:p>
        </w:tc>
      </w:tr>
      <w:tr>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10</w:t>
            </w:r>
          </w:p>
        </w:tc>
        <w:tc>
          <w:tcPr>
            <w:tcW w:type="dxa" w:w="87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Financial capability and liquidity</w:t>
            </w:r>
          </w:p>
        </w:tc>
      </w:tr>
      <w:tr>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11</w:t>
            </w:r>
          </w:p>
        </w:tc>
        <w:tc>
          <w:tcPr>
            <w:tcW w:type="dxa" w:w="87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ESG EHS and responsible business</w:t>
            </w:r>
          </w:p>
        </w:tc>
      </w:tr>
      <w:tr>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12</w:t>
            </w:r>
          </w:p>
        </w:tc>
        <w:tc>
          <w:tcPr>
            <w:tcW w:type="dxa" w:w="87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Information security and business continuity</w:t>
            </w:r>
          </w:p>
        </w:tc>
      </w:tr>
      <w:tr>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13</w:t>
            </w:r>
          </w:p>
        </w:tc>
        <w:tc>
          <w:tcPr>
            <w:tcW w:type="dxa" w:w="87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Evaluation and award process</w:t>
            </w:r>
          </w:p>
        </w:tc>
      </w:tr>
      <w:tr>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14</w:t>
            </w:r>
          </w:p>
        </w:tc>
        <w:tc>
          <w:tcPr>
            <w:tcW w:type="dxa" w:w="87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General RFQ terms</w:t>
            </w:r>
          </w:p>
        </w:tc>
      </w:tr>
      <w:tr>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A</w:t>
            </w:r>
          </w:p>
        </w:tc>
        <w:tc>
          <w:tcPr>
            <w:tcW w:type="dxa" w:w="87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 schedules</w:t>
            </w:r>
          </w:p>
        </w:tc>
      </w:tr>
      <w:tr>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B</w:t>
            </w:r>
          </w:p>
        </w:tc>
        <w:tc>
          <w:tcPr>
            <w:tcW w:type="dxa" w:w="87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Quotation and cost breakdown</w:t>
            </w:r>
          </w:p>
        </w:tc>
      </w:tr>
      <w:tr>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C</w:t>
            </w:r>
          </w:p>
        </w:tc>
        <w:tc>
          <w:tcPr>
            <w:tcW w:type="dxa" w:w="87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Compliance matrix and declarations</w:t>
            </w:r>
          </w:p>
        </w:tc>
      </w:tr>
      <w:tr>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D</w:t>
            </w:r>
          </w:p>
        </w:tc>
        <w:tc>
          <w:tcPr>
            <w:tcW w:type="dxa" w:w="87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Bid submission checklist</w:t>
            </w:r>
          </w:p>
        </w:tc>
      </w:tr>
    </w:tbl>
    <w:p>
      <w:pPr>
        <w:spacing w:after="0"/>
        <w:widowControl/>
      </w:pPr>
    </w:p>
    <w:p>
      <w:pPr>
        <w:widowControl/>
      </w:pPr>
      <w:r>
        <w:br w:type="page"/>
      </w:r>
    </w:p>
    <w:p>
      <w:pPr>
        <w:pStyle w:val="Heading1"/>
        <w:keepNext/>
        <w:widowControl/>
      </w:pPr>
      <w:r>
        <w:rPr>
          <w:color w:val="000000"/>
        </w:rPr>
        <w:t>1 Purpose and sourcing context</w:t>
      </w:r>
    </w:p>
    <w:p>
      <w:pPr>
        <w:pStyle w:val="BodyText"/>
        <w:widowControl/>
      </w:pPr>
      <w:r>
        <w:t>VoltEdge Mobility Components Private Limited develops and manufactures structural and electromechanical assemblies for electric two-wheelers and light commercial electric vehicles. The company seeks a production supplier for a formed and machined steel mounting bracket used within an EV subassembly.</w:t>
      </w:r>
    </w:p>
    <w:p>
      <w:pPr>
        <w:pStyle w:val="BodyText"/>
        <w:widowControl/>
      </w:pPr>
      <w:r>
        <w:t>The sourcing objective is to establish a reliable, cost-competitive and quality-controlled supply arrangement for 10,000 units over an initial three-month period. The award may be extended or scaled subject to performance, programme demand and mutual agreement; no forecast beyond the purchase order is guaranteed.</w:t>
      </w:r>
    </w:p>
    <w:p>
      <w:pPr>
        <w:pStyle w:val="Heading1"/>
        <w:keepNext/>
        <w:widowControl/>
      </w:pPr>
      <w:r>
        <w:rPr>
          <w:color w:val="000000"/>
        </w:rPr>
        <w:t>2 Scope of supply</w:t>
      </w:r>
    </w:p>
    <w:p>
      <w:pPr>
        <w:pStyle w:val="ListBullet"/>
        <w:widowControl/>
      </w:pPr>
      <w:r>
        <w:t>Procurement of approved raw material and maintenance of full material traceability.</w:t>
      </w:r>
    </w:p>
    <w:p>
      <w:pPr>
        <w:pStyle w:val="ListBullet"/>
        <w:widowControl/>
      </w:pPr>
      <w:r>
        <w:t>Tooling, fixtures, gauges and process development required for press forming, bending, machining, roughing, finishing and inspection.</w:t>
      </w:r>
    </w:p>
    <w:p>
      <w:pPr>
        <w:pStyle w:val="ListBullet"/>
        <w:widowControl/>
      </w:pPr>
      <w:r>
        <w:t>Prototype or trial samples, dimensional reports and Production Part Approval Process documentation.</w:t>
      </w:r>
    </w:p>
    <w:p>
      <w:pPr>
        <w:pStyle w:val="ListBullet"/>
        <w:widowControl/>
      </w:pPr>
      <w:r>
        <w:t>Serial production, approved surface protection, preservation, packaging and JIT delivery to the buyer plant.</w:t>
      </w:r>
    </w:p>
    <w:p>
      <w:pPr>
        <w:pStyle w:val="ListBullet"/>
        <w:widowControl/>
      </w:pPr>
      <w:r>
        <w:t>Ongoing quality control, lot traceability, change management, corrective action and capacity reporting.</w:t>
      </w:r>
    </w:p>
    <w:p>
      <w:pPr>
        <w:pStyle w:val="ListBullet"/>
        <w:widowControl/>
      </w:pPr>
      <w:r>
        <w:t>Support for buyer audits, line trials, cost-reduction workshops and continuous improvement during the programme.</w:t>
      </w:r>
    </w:p>
    <w:p>
      <w:pPr>
        <w:pStyle w:val="Heading2"/>
        <w:keepNext/>
        <w:widowControl/>
      </w:pPr>
      <w:r>
        <w:rPr>
          <w:color w:val="000000"/>
        </w:rPr>
        <w:t>2.1 Supply period and quantity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Period</w:t>
            </w:r>
          </w:p>
        </w:tc>
        <w:tc>
          <w:tcPr>
            <w:tcW w:type="dxa" w:w="216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Indicative quantity</w:t>
            </w:r>
          </w:p>
        </w:tc>
        <w:tc>
          <w:tcPr>
            <w:tcW w:type="dxa" w:w="604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Planning basis</w:t>
            </w:r>
          </w:p>
        </w:tc>
      </w:tr>
      <w:tr>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Month 1</w:t>
            </w:r>
          </w:p>
        </w:tc>
        <w:tc>
          <w:tcPr>
            <w:tcW w:type="dxa" w:w="216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3,334 units</w:t>
            </w:r>
          </w:p>
        </w:tc>
        <w:tc>
          <w:tcPr>
            <w:tcW w:type="dxa" w:w="60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Subject to PPAP approval and release schedule</w:t>
            </w:r>
          </w:p>
        </w:tc>
      </w:tr>
      <w:tr>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Month 2</w:t>
            </w:r>
          </w:p>
        </w:tc>
        <w:tc>
          <w:tcPr>
            <w:tcW w:type="dxa" w:w="216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3,333 units</w:t>
            </w:r>
          </w:p>
        </w:tc>
        <w:tc>
          <w:tcPr>
            <w:tcW w:type="dxa" w:w="60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Call-off quantities may vary within agreed flexibility</w:t>
            </w:r>
          </w:p>
        </w:tc>
      </w:tr>
      <w:tr>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Month 3</w:t>
            </w:r>
          </w:p>
        </w:tc>
        <w:tc>
          <w:tcPr>
            <w:tcW w:type="dxa" w:w="216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3,333 units</w:t>
            </w:r>
          </w:p>
        </w:tc>
        <w:tc>
          <w:tcPr>
            <w:tcW w:type="dxa" w:w="60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Balance adjusted to total 10,000 units</w:t>
            </w:r>
          </w:p>
        </w:tc>
      </w:tr>
      <w:tr>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Total</w:t>
            </w:r>
          </w:p>
        </w:tc>
        <w:tc>
          <w:tcPr>
            <w:tcW w:type="dxa" w:w="216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10,000 units</w:t>
            </w:r>
          </w:p>
        </w:tc>
        <w:tc>
          <w:tcPr>
            <w:tcW w:type="dxa" w:w="60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Initial sourcing requirement</w:t>
            </w:r>
          </w:p>
        </w:tc>
      </w:tr>
    </w:tbl>
    <w:p>
      <w:pPr>
        <w:spacing w:after="0"/>
        <w:widowControl/>
      </w:pPr>
    </w:p>
    <w:p>
      <w:pPr>
        <w:pStyle w:val="BodyText"/>
        <w:widowControl/>
      </w:pPr>
      <w:r>
        <w:t>Delivery is planned every three calendar days, creating approximately 30 call-offs during the three-month programme. The nominal shipment is therefore about 333 to 334 units per delivery. The buyer will issue a rolling schedule; exact quantities and dates will be governed by purchase-order releases.</w:t>
      </w:r>
    </w:p>
    <w:p>
      <w:pPr>
        <w:pStyle w:val="Heading1"/>
        <w:keepNext/>
        <w:widowControl/>
      </w:pPr>
      <w:r>
        <w:rPr>
          <w:color w:val="000000"/>
        </w:rPr>
        <w:t>3 Component and technical requirements</w:t>
      </w:r>
    </w:p>
    <w:p>
      <w:pPr>
        <w:pStyle w:val="Heading2"/>
        <w:keepNext/>
        <w:widowControl/>
      </w:pPr>
      <w:r>
        <w:rPr>
          <w:color w:val="000000"/>
        </w:rPr>
        <w:t>3.1 Indicative component definition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Attribute</w:t>
            </w:r>
          </w:p>
        </w:tc>
        <w:tc>
          <w:tcPr>
            <w:tcW w:type="dxa" w:w="748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Indicative requirement</w:t>
            </w:r>
          </w:p>
        </w:tc>
      </w:tr>
      <w:tr>
        <w:tc>
          <w:tcPr>
            <w:tcW w:type="dxa" w:w="24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Component</w:t>
            </w:r>
          </w:p>
        </w:tc>
        <w:tc>
          <w:tcPr>
            <w:tcW w:type="dxa" w:w="74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EV steel mounting bracket</w:t>
            </w:r>
          </w:p>
        </w:tc>
      </w:tr>
      <w:tr>
        <w:tc>
          <w:tcPr>
            <w:tcW w:type="dxa" w:w="24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Buyer part number</w:t>
            </w:r>
          </w:p>
        </w:tc>
        <w:tc>
          <w:tcPr>
            <w:tcW w:type="dxa" w:w="74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VEMC BRK 0471 Rev A, illustrative</w:t>
            </w:r>
          </w:p>
        </w:tc>
      </w:tr>
      <w:tr>
        <w:tc>
          <w:tcPr>
            <w:tcW w:type="dxa" w:w="24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Application</w:t>
            </w:r>
          </w:p>
        </w:tc>
        <w:tc>
          <w:tcPr>
            <w:tcW w:type="dxa" w:w="74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Mounting and retention bracket within an EV electrical or structural subassembly</w:t>
            </w:r>
          </w:p>
        </w:tc>
      </w:tr>
      <w:tr>
        <w:tc>
          <w:tcPr>
            <w:tcW w:type="dxa" w:w="24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Material</w:t>
            </w:r>
          </w:p>
        </w:tc>
        <w:tc>
          <w:tcPr>
            <w:tcW w:type="dxa" w:w="74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Cold-rolled low-carbon steel, indicative grade CRCA IS 513 DD or drawing-approved equivalent</w:t>
            </w:r>
          </w:p>
        </w:tc>
      </w:tr>
      <w:tr>
        <w:tc>
          <w:tcPr>
            <w:tcW w:type="dxa" w:w="24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Nominal thickness</w:t>
            </w:r>
          </w:p>
        </w:tc>
        <w:tc>
          <w:tcPr>
            <w:tcW w:type="dxa" w:w="74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3.0 mm, subject to released drawing</w:t>
            </w:r>
          </w:p>
        </w:tc>
      </w:tr>
      <w:tr>
        <w:tc>
          <w:tcPr>
            <w:tcW w:type="dxa" w:w="24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Manufacturing route</w:t>
            </w:r>
          </w:p>
        </w:tc>
        <w:tc>
          <w:tcPr>
            <w:tcW w:type="dxa" w:w="74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Blanking or laser cutting, pressing, bending, machining, deburring, surface treatment and final inspection</w:t>
            </w:r>
          </w:p>
        </w:tc>
      </w:tr>
      <w:tr>
        <w:tc>
          <w:tcPr>
            <w:tcW w:type="dxa" w:w="24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Machined features</w:t>
            </w:r>
          </w:p>
        </w:tc>
        <w:tc>
          <w:tcPr>
            <w:tcW w:type="dxa" w:w="74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Indicative drilled or reamed holes, slots and datum faces requiring roughing and finishing where specified</w:t>
            </w:r>
          </w:p>
        </w:tc>
      </w:tr>
      <w:tr>
        <w:tc>
          <w:tcPr>
            <w:tcW w:type="dxa" w:w="24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Surface finish</w:t>
            </w:r>
          </w:p>
        </w:tc>
        <w:tc>
          <w:tcPr>
            <w:tcW w:type="dxa" w:w="74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Zinc electroplating with trivalent passivation or drawing-approved automotive coating</w:t>
            </w:r>
          </w:p>
        </w:tc>
      </w:tr>
      <w:tr>
        <w:tc>
          <w:tcPr>
            <w:tcW w:type="dxa" w:w="24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Appearance</w:t>
            </w:r>
          </w:p>
        </w:tc>
        <w:tc>
          <w:tcPr>
            <w:tcW w:type="dxa" w:w="74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Free from sharp edges, burrs, cracks, rust, scale, oil stains, dents, distortion and coating damage</w:t>
            </w:r>
          </w:p>
        </w:tc>
      </w:tr>
      <w:tr>
        <w:tc>
          <w:tcPr>
            <w:tcW w:type="dxa" w:w="24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Critical characteristics</w:t>
            </w:r>
          </w:p>
        </w:tc>
        <w:tc>
          <w:tcPr>
            <w:tcW w:type="dxa" w:w="74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As identified on released drawing and control plan</w:t>
            </w:r>
          </w:p>
        </w:tc>
      </w:tr>
      <w:tr>
        <w:tc>
          <w:tcPr>
            <w:tcW w:type="dxa" w:w="24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Part marking</w:t>
            </w:r>
          </w:p>
        </w:tc>
        <w:tc>
          <w:tcPr>
            <w:tcW w:type="dxa" w:w="74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Supplier code, cavity or tool identification, batch code and date or shift traceability as approved</w:t>
            </w:r>
          </w:p>
        </w:tc>
      </w:tr>
    </w:tbl>
    <w:p>
      <w:pPr>
        <w:spacing w:after="0"/>
        <w:widowControl/>
      </w:pPr>
    </w:p>
    <w:p>
      <w:pPr>
        <w:pStyle w:val="Heading2"/>
        <w:keepNext/>
        <w:widowControl/>
      </w:pPr>
      <w:r>
        <w:rPr>
          <w:color w:val="000000"/>
        </w:rPr>
        <w:t>3.2 Drawing and specification control</w:t>
      </w:r>
    </w:p>
    <w:p>
      <w:pPr>
        <w:pStyle w:val="ListBullet"/>
        <w:widowControl/>
      </w:pPr>
      <w:r>
        <w:t>The buyer will release the controlled drawing and any 3D model to shortlisted suppliers under confidentiality obligations.</w:t>
      </w:r>
    </w:p>
    <w:p>
      <w:pPr>
        <w:pStyle w:val="ListBullet"/>
        <w:widowControl/>
      </w:pPr>
      <w:r>
        <w:t>The 2D drawing governs dimensions, tolerances, datums, geometric controls, special characteristics and acceptance criteria. The supplier shall report any conflict between the 2D drawing, 3D model and RFQ before quotation.</w:t>
      </w:r>
    </w:p>
    <w:p>
      <w:pPr>
        <w:pStyle w:val="ListBullet"/>
        <w:widowControl/>
      </w:pPr>
      <w:r>
        <w:t>No material, source, process, tooling, location or sub-tier change is permitted after approval without prior written buyer authorization and, where applicable, resubmission of PPAP.</w:t>
      </w:r>
    </w:p>
    <w:p>
      <w:pPr>
        <w:pStyle w:val="ListBullet"/>
        <w:widowControl/>
      </w:pPr>
      <w:r>
        <w:t>Supplier shall perform a manufacturing-feasibility review and identify tolerance, forming, springback, coating-build, flatness, burr-orientation and datum risks in the quotation.</w:t>
      </w:r>
    </w:p>
    <w:p>
      <w:pPr>
        <w:pStyle w:val="Heading2"/>
        <w:keepNext/>
        <w:widowControl/>
      </w:pPr>
      <w:r>
        <w:rPr>
          <w:color w:val="000000"/>
        </w:rPr>
        <w:t>3.3 Technical deliverables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Deliverable</w:t>
            </w:r>
          </w:p>
        </w:tc>
        <w:tc>
          <w:tcPr>
            <w:tcW w:type="dxa" w:w="568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Minimum requirement</w:t>
            </w:r>
          </w:p>
        </w:tc>
        <w:tc>
          <w:tcPr>
            <w:tcW w:type="dxa" w:w="230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Timing</w:t>
            </w:r>
          </w:p>
        </w:tc>
      </w:tr>
      <w:tr>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Feasibility review</w:t>
            </w:r>
          </w:p>
        </w:tc>
        <w:tc>
          <w:tcPr>
            <w:tcW w:type="dxa" w:w="56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Signed review covering material, tooling, tolerances, process route and capacity</w:t>
            </w:r>
          </w:p>
        </w:tc>
        <w:tc>
          <w:tcPr>
            <w:tcW w:type="dxa" w:w="230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With quotation</w:t>
            </w:r>
          </w:p>
        </w:tc>
      </w:tr>
      <w:tr>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Process flow</w:t>
            </w:r>
          </w:p>
        </w:tc>
        <w:tc>
          <w:tcPr>
            <w:tcW w:type="dxa" w:w="56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End-to-end flow including outsourced operations</w:t>
            </w:r>
          </w:p>
        </w:tc>
        <w:tc>
          <w:tcPr>
            <w:tcW w:type="dxa" w:w="230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With quotation and updated before trial</w:t>
            </w:r>
          </w:p>
        </w:tc>
      </w:tr>
      <w:tr>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DFM feedback</w:t>
            </w:r>
          </w:p>
        </w:tc>
        <w:tc>
          <w:tcPr>
            <w:tcW w:type="dxa" w:w="56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Marked-up drawing and risk or cost-reduction proposals</w:t>
            </w:r>
          </w:p>
        </w:tc>
        <w:tc>
          <w:tcPr>
            <w:tcW w:type="dxa" w:w="230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Within five working days of drawing receipt</w:t>
            </w:r>
          </w:p>
        </w:tc>
      </w:tr>
      <w:tr>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Trial samples</w:t>
            </w:r>
          </w:p>
        </w:tc>
        <w:tc>
          <w:tcPr>
            <w:tcW w:type="dxa" w:w="56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Quantity to be agreed, from intended process and tooling</w:t>
            </w:r>
          </w:p>
        </w:tc>
        <w:tc>
          <w:tcPr>
            <w:tcW w:type="dxa" w:w="230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Before PPAP</w:t>
            </w:r>
          </w:p>
        </w:tc>
      </w:tr>
      <w:tr>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PPAP</w:t>
            </w:r>
          </w:p>
        </w:tc>
        <w:tc>
          <w:tcPr>
            <w:tcW w:type="dxa" w:w="56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Level 3 unless otherwise approved</w:t>
            </w:r>
          </w:p>
        </w:tc>
        <w:tc>
          <w:tcPr>
            <w:tcW w:type="dxa" w:w="230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Before production shipment</w:t>
            </w:r>
          </w:p>
        </w:tc>
      </w:tr>
      <w:tr>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Inspection reports</w:t>
            </w:r>
          </w:p>
        </w:tc>
        <w:tc>
          <w:tcPr>
            <w:tcW w:type="dxa" w:w="56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Full layout for samples and periodic layout thereafter</w:t>
            </w:r>
          </w:p>
        </w:tc>
        <w:tc>
          <w:tcPr>
            <w:tcW w:type="dxa" w:w="230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With sample or as agreed</w:t>
            </w:r>
          </w:p>
        </w:tc>
      </w:tr>
      <w:tr>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Certificates</w:t>
            </w:r>
          </w:p>
        </w:tc>
        <w:tc>
          <w:tcPr>
            <w:tcW w:type="dxa" w:w="56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Material test certificate, coating report and certificate of conformity</w:t>
            </w:r>
          </w:p>
        </w:tc>
        <w:tc>
          <w:tcPr>
            <w:tcW w:type="dxa" w:w="230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Each lot or shipment as specified</w:t>
            </w:r>
          </w:p>
        </w:tc>
      </w:tr>
    </w:tbl>
    <w:p>
      <w:pPr>
        <w:spacing w:after="0"/>
        <w:widowControl/>
      </w:pPr>
    </w:p>
    <w:p>
      <w:pPr>
        <w:widowControl/>
      </w:pPr>
      <w:r>
        <w:br w:type="page"/>
      </w:r>
    </w:p>
    <w:p>
      <w:pPr>
        <w:pStyle w:val="Heading1"/>
        <w:keepNext/>
        <w:widowControl/>
      </w:pPr>
      <w:r>
        <w:rPr>
          <w:color w:val="000000"/>
        </w:rPr>
        <w:t>4 Manufacturing process and equipment</w:t>
      </w:r>
    </w:p>
    <w:p>
      <w:pPr>
        <w:pStyle w:val="BodyText"/>
        <w:widowControl/>
      </w:pPr>
      <w:r>
        <w:t>The supplier shall own or have securely controlled access to equipment capable of producing the part consistently at the quoted rate. All proposed outsourced processes must be disclosed with the sub-tier name, location, certification and control method.</w:t>
      </w:r>
    </w:p>
    <w:p>
      <w:pPr>
        <w:pStyle w:val="Heading2"/>
        <w:keepNext/>
        <w:widowControl/>
      </w:pPr>
      <w:r>
        <w:rPr>
          <w:color w:val="000000"/>
        </w:rPr>
        <w:t>4.1 Required process capability</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0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Process area</w:t>
            </w:r>
          </w:p>
        </w:tc>
        <w:tc>
          <w:tcPr>
            <w:tcW w:type="dxa" w:w="504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Expected capability</w:t>
            </w:r>
          </w:p>
        </w:tc>
        <w:tc>
          <w:tcPr>
            <w:tcW w:type="dxa" w:w="309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Evidence required</w:t>
            </w:r>
          </w:p>
        </w:tc>
      </w:tr>
      <w:tr>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Material preparation</w:t>
            </w:r>
          </w:p>
        </w:tc>
        <w:tc>
          <w:tcPr>
            <w:tcW w:type="dxa" w:w="50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Coil or sheet storage, identification, blanking or laser cutting, material handling</w:t>
            </w:r>
          </w:p>
        </w:tc>
        <w:tc>
          <w:tcPr>
            <w:tcW w:type="dxa" w:w="30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Equipment list, storage controls and traceability flow</w:t>
            </w:r>
          </w:p>
        </w:tc>
      </w:tr>
      <w:tr>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Pressing</w:t>
            </w:r>
          </w:p>
        </w:tc>
        <w:tc>
          <w:tcPr>
            <w:tcW w:type="dxa" w:w="50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Suitable press tonnage, bed size, guarding, die setting, controlled lubrication and poka-yoke</w:t>
            </w:r>
          </w:p>
        </w:tc>
        <w:tc>
          <w:tcPr>
            <w:tcW w:type="dxa" w:w="30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Press details, utilization, process parameters and sample job records</w:t>
            </w:r>
          </w:p>
        </w:tc>
      </w:tr>
      <w:tr>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Bending</w:t>
            </w:r>
          </w:p>
        </w:tc>
        <w:tc>
          <w:tcPr>
            <w:tcW w:type="dxa" w:w="50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CNC press brake or controlled forming with suitable capacity, back-gauge and tooling</w:t>
            </w:r>
          </w:p>
        </w:tc>
        <w:tc>
          <w:tcPr>
            <w:tcW w:type="dxa" w:w="30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Machine details, accuracy, calibration and operator competence</w:t>
            </w:r>
          </w:p>
        </w:tc>
      </w:tr>
      <w:tr>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Machining</w:t>
            </w:r>
          </w:p>
        </w:tc>
        <w:tc>
          <w:tcPr>
            <w:tcW w:type="dxa" w:w="50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CNC VMC, drilling, milling, reaming or equivalent setup for drawing-controlled features</w:t>
            </w:r>
          </w:p>
        </w:tc>
        <w:tc>
          <w:tcPr>
            <w:tcW w:type="dxa" w:w="30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Machine capability, fixture concept, tool-life control and programme control</w:t>
            </w:r>
          </w:p>
        </w:tc>
      </w:tr>
      <w:tr>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Roughing and finishing</w:t>
            </w:r>
          </w:p>
        </w:tc>
        <w:tc>
          <w:tcPr>
            <w:tcW w:type="dxa" w:w="50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Defined stock allowance, stable datum strategy, finishing pass and burr control</w:t>
            </w:r>
          </w:p>
        </w:tc>
        <w:tc>
          <w:tcPr>
            <w:tcW w:type="dxa" w:w="30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Process plan, inspection method and tool-change criteria</w:t>
            </w:r>
          </w:p>
        </w:tc>
      </w:tr>
      <w:tr>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Deburring and cleaning</w:t>
            </w:r>
          </w:p>
        </w:tc>
        <w:tc>
          <w:tcPr>
            <w:tcW w:type="dxa" w:w="50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Repeatable edge break, removal of chips and contamination</w:t>
            </w:r>
          </w:p>
        </w:tc>
        <w:tc>
          <w:tcPr>
            <w:tcW w:type="dxa" w:w="30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Work instruction and acceptance standard</w:t>
            </w:r>
          </w:p>
        </w:tc>
      </w:tr>
      <w:tr>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Surface treatment</w:t>
            </w:r>
          </w:p>
        </w:tc>
        <w:tc>
          <w:tcPr>
            <w:tcW w:type="dxa" w:w="50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Automotive-grade coating with thickness, adhesion and corrosion controls</w:t>
            </w:r>
          </w:p>
        </w:tc>
        <w:tc>
          <w:tcPr>
            <w:tcW w:type="dxa" w:w="30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Approved source, bath controls, test plan and certificates</w:t>
            </w:r>
          </w:p>
        </w:tc>
      </w:tr>
      <w:tr>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Inspection</w:t>
            </w:r>
          </w:p>
        </w:tc>
        <w:tc>
          <w:tcPr>
            <w:tcW w:type="dxa" w:w="50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Calibrated dimensional, visual and coating inspection suitable for all characteristics</w:t>
            </w:r>
          </w:p>
        </w:tc>
        <w:tc>
          <w:tcPr>
            <w:tcW w:type="dxa" w:w="30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Gauge list, calibration status and MSA plan</w:t>
            </w:r>
          </w:p>
        </w:tc>
      </w:tr>
    </w:tbl>
    <w:p>
      <w:pPr>
        <w:spacing w:after="0"/>
        <w:widowControl/>
      </w:pPr>
    </w:p>
    <w:p>
      <w:pPr>
        <w:pStyle w:val="Heading2"/>
        <w:keepNext/>
        <w:widowControl/>
      </w:pPr>
      <w:r>
        <w:rPr>
          <w:color w:val="000000"/>
        </w:rPr>
        <w:t>4.2 Tooling and gauges</w:t>
      </w:r>
    </w:p>
    <w:p>
      <w:pPr>
        <w:pStyle w:val="ListBullet"/>
        <w:widowControl/>
      </w:pPr>
      <w:r>
        <w:t>Describe the die concept, number of stages, press tonnage calculation, strip or blank utilization, expected tool life and preventive-maintenance frequency.</w:t>
      </w:r>
    </w:p>
    <w:p>
      <w:pPr>
        <w:pStyle w:val="ListBullet"/>
        <w:widowControl/>
      </w:pPr>
      <w:r>
        <w:t>Identify all dedicated fixtures, checking fixtures, gauges and master samples. State ownership, price, lead time, storage, maintenance and end-of-programme disposition.</w:t>
      </w:r>
    </w:p>
    <w:p>
      <w:pPr>
        <w:pStyle w:val="ListBullet"/>
        <w:widowControl/>
      </w:pPr>
      <w:r>
        <w:t>Buyer-funded tooling shall be identified, permanently marked as buyer property, maintained by the supplier and used only for authorized production.</w:t>
      </w:r>
    </w:p>
    <w:p>
      <w:pPr>
        <w:pStyle w:val="ListBullet"/>
        <w:widowControl/>
      </w:pPr>
      <w:r>
        <w:t>The supplier shall maintain tooling history, spares for wear parts and a recovery plan for breakdowns that could interrupt three-day JIT deliveries.</w:t>
      </w:r>
    </w:p>
    <w:p>
      <w:pPr>
        <w:pStyle w:val="Heading1"/>
        <w:keepNext/>
        <w:widowControl/>
      </w:pPr>
      <w:r>
        <w:rPr>
          <w:color w:val="000000"/>
        </w:rPr>
        <w:t>5 Capacity and production readiness</w:t>
      </w:r>
    </w:p>
    <w:p>
      <w:pPr>
        <w:pStyle w:val="Heading2"/>
        <w:keepNext/>
        <w:widowControl/>
      </w:pPr>
      <w:r>
        <w:rPr>
          <w:color w:val="000000"/>
        </w:rPr>
        <w:t>5.1 Capacity commitment</w:t>
      </w:r>
    </w:p>
    <w:p>
      <w:pPr>
        <w:pStyle w:val="ListBullet"/>
        <w:widowControl/>
      </w:pPr>
      <w:r>
        <w:t>Demonstrate capacity for the nominal programme and at least 20 percent short-term upside without deterioration in quality or delivery.</w:t>
      </w:r>
    </w:p>
    <w:p>
      <w:pPr>
        <w:pStyle w:val="ListBullet"/>
        <w:widowControl/>
      </w:pPr>
      <w:r>
        <w:t>State quoted cycle time, overall equipment effectiveness, planned shifts, staffing, changeover time, scrap assumption and bottleneck operation.</w:t>
      </w:r>
    </w:p>
    <w:p>
      <w:pPr>
        <w:pStyle w:val="ListBullet"/>
        <w:widowControl/>
      </w:pPr>
      <w:r>
        <w:t>Identify other programmes sharing key equipment and quantify available capacity during the proposed production window.</w:t>
      </w:r>
    </w:p>
    <w:p>
      <w:pPr>
        <w:pStyle w:val="ListBullet"/>
        <w:widowControl/>
      </w:pPr>
      <w:r>
        <w:t>Provide a ramp-up plan from tool design through trial, PPAP, safe launch and stable serial production.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60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Readiness milestone</w:t>
            </w:r>
          </w:p>
        </w:tc>
        <w:tc>
          <w:tcPr>
            <w:tcW w:type="dxa" w:w="259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Supplier proposed date</w:t>
            </w:r>
          </w:p>
        </w:tc>
        <w:tc>
          <w:tcPr>
            <w:tcW w:type="dxa" w:w="374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Evidence or owner</w:t>
            </w:r>
          </w:p>
        </w:tc>
      </w:tr>
      <w:tr>
        <w:tc>
          <w:tcPr>
            <w:tcW w:type="dxa" w:w="36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Drawing and feasibility closure</w:t>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c>
          <w:tcPr>
            <w:tcW w:type="dxa" w:w="37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36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Tool design freeze</w:t>
            </w:r>
          </w:p>
        </w:tc>
        <w:tc>
          <w:tcPr>
            <w:tcW w:type="dxa" w:w="25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c>
          <w:tcPr>
            <w:tcW w:type="dxa" w:w="37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36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Tool completion</w:t>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c>
          <w:tcPr>
            <w:tcW w:type="dxa" w:w="37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36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First-off trial</w:t>
            </w:r>
          </w:p>
        </w:tc>
        <w:tc>
          <w:tcPr>
            <w:tcW w:type="dxa" w:w="25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c>
          <w:tcPr>
            <w:tcW w:type="dxa" w:w="37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36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Run at rate</w:t>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c>
          <w:tcPr>
            <w:tcW w:type="dxa" w:w="37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36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PPAP submission</w:t>
            </w:r>
          </w:p>
        </w:tc>
        <w:tc>
          <w:tcPr>
            <w:tcW w:type="dxa" w:w="25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c>
          <w:tcPr>
            <w:tcW w:type="dxa" w:w="37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36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PPAP approval target</w:t>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c>
          <w:tcPr>
            <w:tcW w:type="dxa" w:w="37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36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Start of production</w:t>
            </w:r>
          </w:p>
        </w:tc>
        <w:tc>
          <w:tcPr>
            <w:tcW w:type="dxa" w:w="25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c>
          <w:tcPr>
            <w:tcW w:type="dxa" w:w="37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36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First JIT delivery</w:t>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c>
          <w:tcPr>
            <w:tcW w:type="dxa" w:w="37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bl>
    <w:p>
      <w:pPr>
        <w:spacing w:after="0"/>
        <w:widowControl/>
      </w:pPr>
    </w:p>
    <w:p>
      <w:pPr>
        <w:pStyle w:val="Heading2"/>
        <w:keepNext/>
        <w:widowControl/>
      </w:pPr>
      <w:r>
        <w:rPr>
          <w:color w:val="000000"/>
        </w:rPr>
        <w:t>5.2 Run at rate</w:t>
      </w:r>
    </w:p>
    <w:p>
      <w:pPr>
        <w:pStyle w:val="BodyText"/>
        <w:widowControl/>
      </w:pPr>
      <w:r>
        <w:t>Before award confirmation or production approval, the buyer may require a witnessed run-at-rate. The supplier shall operate the intended production process, personnel, tooling, inspection and packaging for a duration sufficient to demonstrate the quoted hourly rate, quality performance, changeover controls and traceability. Any shortfall requires a dated recovery plan.</w:t>
      </w:r>
    </w:p>
    <w:p>
      <w:pPr>
        <w:widowControl/>
      </w:pPr>
      <w:r>
        <w:br w:type="page"/>
      </w:r>
    </w:p>
    <w:p>
      <w:pPr>
        <w:pStyle w:val="Heading1"/>
        <w:keepNext/>
        <w:widowControl/>
      </w:pPr>
      <w:r>
        <w:rPr>
          <w:color w:val="000000"/>
        </w:rPr>
        <w:t>6 Quality management and product assurance</w:t>
      </w:r>
    </w:p>
    <w:p>
      <w:pPr>
        <w:pStyle w:val="Heading2"/>
        <w:keepNext/>
        <w:widowControl/>
      </w:pPr>
      <w:r>
        <w:rPr>
          <w:color w:val="000000"/>
        </w:rPr>
        <w:t>6.1 Management system</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19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Requirement</w:t>
            </w:r>
          </w:p>
        </w:tc>
        <w:tc>
          <w:tcPr>
            <w:tcW w:type="dxa" w:w="374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Status</w:t>
            </w:r>
          </w:p>
        </w:tc>
      </w:tr>
      <w:tr>
        <w:tc>
          <w:tcPr>
            <w:tcW w:type="dxa" w:w="61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ISO 9001 certification by an accredited body</w:t>
            </w:r>
          </w:p>
        </w:tc>
        <w:tc>
          <w:tcPr>
            <w:tcW w:type="dxa" w:w="37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Mandatory unless buyer grants a written exception after audit</w:t>
            </w:r>
          </w:p>
        </w:tc>
      </w:tr>
      <w:tr>
        <w:tc>
          <w:tcPr>
            <w:tcW w:type="dxa" w:w="61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IATF 16949 certification or demonstrated automotive QMS maturity</w:t>
            </w:r>
          </w:p>
        </w:tc>
        <w:tc>
          <w:tcPr>
            <w:tcW w:type="dxa" w:w="37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Strongly preferred</w:t>
            </w:r>
          </w:p>
        </w:tc>
      </w:tr>
      <w:tr>
        <w:tc>
          <w:tcPr>
            <w:tcW w:type="dxa" w:w="61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ISO 14001 environmental management</w:t>
            </w:r>
          </w:p>
        </w:tc>
        <w:tc>
          <w:tcPr>
            <w:tcW w:type="dxa" w:w="37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Preferred</w:t>
            </w:r>
          </w:p>
        </w:tc>
      </w:tr>
      <w:tr>
        <w:tc>
          <w:tcPr>
            <w:tcW w:type="dxa" w:w="61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ISO 45001 occupational health and safety</w:t>
            </w:r>
          </w:p>
        </w:tc>
        <w:tc>
          <w:tcPr>
            <w:tcW w:type="dxa" w:w="37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Preferred</w:t>
            </w:r>
          </w:p>
        </w:tc>
      </w:tr>
      <w:tr>
        <w:tc>
          <w:tcPr>
            <w:tcW w:type="dxa" w:w="61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Automotive core tools including APQP, PPAP, FMEA, MSA and SPC</w:t>
            </w:r>
          </w:p>
        </w:tc>
        <w:tc>
          <w:tcPr>
            <w:tcW w:type="dxa" w:w="37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Required for this programme</w:t>
            </w:r>
          </w:p>
        </w:tc>
      </w:tr>
      <w:tr>
        <w:tc>
          <w:tcPr>
            <w:tcW w:type="dxa" w:w="61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Special-process controls and qualified sub-tier suppliers</w:t>
            </w:r>
          </w:p>
        </w:tc>
        <w:tc>
          <w:tcPr>
            <w:tcW w:type="dxa" w:w="37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Required where applicable</w:t>
            </w:r>
          </w:p>
        </w:tc>
      </w:tr>
    </w:tbl>
    <w:p>
      <w:pPr>
        <w:spacing w:after="0"/>
        <w:widowControl/>
      </w:pPr>
    </w:p>
    <w:p>
      <w:pPr>
        <w:pStyle w:val="Heading2"/>
        <w:keepNext/>
        <w:widowControl/>
      </w:pPr>
      <w:r>
        <w:rPr>
          <w:color w:val="000000"/>
        </w:rPr>
        <w:t>6.2 APQP and PPAP</w:t>
      </w:r>
    </w:p>
    <w:p>
      <w:pPr>
        <w:pStyle w:val="ListBullet"/>
        <w:widowControl/>
      </w:pPr>
      <w:r>
        <w:t>PPAP Level 3 is the default submission level and shall include design record, authorized change documents, process flow, PFMEA, control plan, MSA, dimensional results, material and performance test results, initial process studies, qualified-laboratory evidence, appearance approval where relevant, sample parts, master sample, checking aids, customer-specific requirements and Part Submission Warrant.</w:t>
      </w:r>
    </w:p>
    <w:p>
      <w:pPr>
        <w:pStyle w:val="ListBullet"/>
        <w:widowControl/>
      </w:pPr>
      <w:r>
        <w:t>The supplier shall nominate an APQP leader and maintain an open-issues list. Approval of samples does not waive conformity of future production.</w:t>
      </w:r>
    </w:p>
    <w:p>
      <w:pPr>
        <w:pStyle w:val="ListBullet"/>
        <w:widowControl/>
      </w:pPr>
      <w:r>
        <w:t>Critical and significant characteristics shall be identified consistently across drawing, PFMEA, control plan, work instructions and inspection records.</w:t>
      </w:r>
    </w:p>
    <w:p>
      <w:pPr>
        <w:pStyle w:val="Heading2"/>
        <w:keepNext/>
        <w:widowControl/>
      </w:pPr>
      <w:r>
        <w:rPr>
          <w:color w:val="000000"/>
        </w:rPr>
        <w:t>6.3 Process capability and inspection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Control</w:t>
            </w:r>
          </w:p>
        </w:tc>
        <w:tc>
          <w:tcPr>
            <w:tcW w:type="dxa" w:w="705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Expectation</w:t>
            </w:r>
          </w:p>
        </w:tc>
      </w:tr>
      <w:tr>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Initial capability</w:t>
            </w:r>
          </w:p>
        </w:tc>
        <w:tc>
          <w:tcPr>
            <w:tcW w:type="dxa" w:w="70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Target Ppk at least 1.67 for designated special characteristics unless otherwise agreed</w:t>
            </w:r>
          </w:p>
        </w:tc>
      </w:tr>
      <w:tr>
        <w:tc>
          <w:tcPr>
            <w:tcW w:type="dxa" w:w="28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Ongoing capability</w:t>
            </w:r>
          </w:p>
        </w:tc>
        <w:tc>
          <w:tcPr>
            <w:tcW w:type="dxa" w:w="70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Target Cpk at least 1.33 for stable serial processes; action plan for any lower result</w:t>
            </w:r>
          </w:p>
        </w:tc>
      </w:tr>
      <w:tr>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Measurement systems</w:t>
            </w:r>
          </w:p>
        </w:tc>
        <w:tc>
          <w:tcPr>
            <w:tcW w:type="dxa" w:w="70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Gauge R and R normally below 10 percent; 10 to 30 percent requires justification; above 30 percent unacceptable</w:t>
            </w:r>
          </w:p>
        </w:tc>
      </w:tr>
      <w:tr>
        <w:tc>
          <w:tcPr>
            <w:tcW w:type="dxa" w:w="28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First-off and last-off</w:t>
            </w:r>
          </w:p>
        </w:tc>
        <w:tc>
          <w:tcPr>
            <w:tcW w:type="dxa" w:w="70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Documented approval at start, after changeover, tool intervention, parameter change or restart</w:t>
            </w:r>
          </w:p>
        </w:tc>
      </w:tr>
      <w:tr>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In-process inspection</w:t>
            </w:r>
          </w:p>
        </w:tc>
        <w:tc>
          <w:tcPr>
            <w:tcW w:type="dxa" w:w="70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Frequency based on risk, capability and control plan; records retained and traceable</w:t>
            </w:r>
          </w:p>
        </w:tc>
      </w:tr>
      <w:tr>
        <w:tc>
          <w:tcPr>
            <w:tcW w:type="dxa" w:w="28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Final inspection</w:t>
            </w:r>
          </w:p>
        </w:tc>
        <w:tc>
          <w:tcPr>
            <w:tcW w:type="dxa" w:w="70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Part identity, quantity, key dimensions, appearance, coating, marking and packaging</w:t>
            </w:r>
          </w:p>
        </w:tc>
      </w:tr>
      <w:tr>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Annual layout</w:t>
            </w:r>
          </w:p>
        </w:tc>
        <w:tc>
          <w:tcPr>
            <w:tcW w:type="dxa" w:w="70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Full dimensional and material validation at least annually or as buyer specifies</w:t>
            </w:r>
          </w:p>
        </w:tc>
      </w:tr>
    </w:tbl>
    <w:p>
      <w:pPr>
        <w:spacing w:after="0"/>
        <w:widowControl/>
      </w:pPr>
    </w:p>
    <w:p>
      <w:pPr>
        <w:pStyle w:val="Heading2"/>
        <w:keepNext/>
        <w:widowControl/>
      </w:pPr>
      <w:r>
        <w:rPr>
          <w:color w:val="000000"/>
        </w:rPr>
        <w:t>6.4 Nonconformance and corrective action</w:t>
      </w:r>
    </w:p>
    <w:p>
      <w:pPr>
        <w:pStyle w:val="ListBullet"/>
        <w:widowControl/>
      </w:pPr>
      <w:r>
        <w:t>Notify the buyer immediately of any actual or suspected escape, mixed lot, incorrect material, traceability failure or process deviation.</w:t>
      </w:r>
    </w:p>
    <w:p>
      <w:pPr>
        <w:pStyle w:val="ListBullet"/>
        <w:widowControl/>
      </w:pPr>
      <w:r>
        <w:t>Provide containment within 24 hours, initial root-cause response within three working days and completed 8D normally within ten working days, unless otherwise agreed.</w:t>
      </w:r>
    </w:p>
    <w:p>
      <w:pPr>
        <w:pStyle w:val="ListBullet"/>
        <w:widowControl/>
      </w:pPr>
      <w:r>
        <w:t>Supplier bears reasonable costs attributable to supplier nonconformance, including sorting, reinspection, premium freight, line disruption, rework and replacement, subject to purchase-order terms.</w:t>
      </w:r>
    </w:p>
    <w:p>
      <w:pPr>
        <w:pStyle w:val="ListBullet"/>
        <w:widowControl/>
      </w:pPr>
      <w:r>
        <w:t>No use-as-is, repair or rework is permitted without written concession. Approved concessions are lot-specific and time-bound.</w:t>
      </w:r>
    </w:p>
    <w:p>
      <w:pPr>
        <w:pStyle w:val="Heading2"/>
        <w:keepNext/>
        <w:widowControl/>
      </w:pPr>
      <w:r>
        <w:rPr>
          <w:color w:val="000000"/>
        </w:rPr>
        <w:t>6.5 Traceability and record retention</w:t>
      </w:r>
    </w:p>
    <w:p>
      <w:pPr>
        <w:pStyle w:val="BodyText"/>
        <w:widowControl/>
      </w:pPr>
      <w:r>
        <w:t>Traceability shall connect each delivered container or lot to raw-material heat or coil, incoming inspection, production date and shift, machine or press, tool or cavity, operator, key process parameters, inspection results, coating batch and dispatch record. Quality and traceability records shall be retained for 15 years after production or longer if required by law or buyer-specific requirements.</w:t>
      </w:r>
    </w:p>
    <w:p>
      <w:pPr>
        <w:pStyle w:val="Heading1"/>
        <w:keepNext/>
        <w:widowControl/>
      </w:pPr>
      <w:r>
        <w:rPr>
          <w:color w:val="000000"/>
        </w:rPr>
        <w:t>7 JIT delivery logistics and packaging</w:t>
      </w:r>
    </w:p>
    <w:p>
      <w:pPr>
        <w:pStyle w:val="Heading2"/>
        <w:keepNext/>
        <w:widowControl/>
      </w:pPr>
      <w:r>
        <w:rPr>
          <w:color w:val="000000"/>
        </w:rPr>
        <w:t>7.1 Delivery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Parameter</w:t>
            </w:r>
          </w:p>
        </w:tc>
        <w:tc>
          <w:tcPr>
            <w:tcW w:type="dxa" w:w="705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Requirement</w:t>
            </w:r>
          </w:p>
        </w:tc>
      </w:tr>
      <w:tr>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Delivery location</w:t>
            </w:r>
          </w:p>
        </w:tc>
        <w:tc>
          <w:tcPr>
            <w:tcW w:type="dxa" w:w="70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VoltEdge buyer plant, Pune region, Maharashtra; final ship-to address in purchase order</w:t>
            </w:r>
          </w:p>
        </w:tc>
      </w:tr>
      <w:tr>
        <w:tc>
          <w:tcPr>
            <w:tcW w:type="dxa" w:w="28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Frequency</w:t>
            </w:r>
          </w:p>
        </w:tc>
        <w:tc>
          <w:tcPr>
            <w:tcW w:type="dxa" w:w="70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Every three calendar days, including agreed holiday and shutdown planning</w:t>
            </w:r>
          </w:p>
        </w:tc>
      </w:tr>
      <w:tr>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Nominal shipment</w:t>
            </w:r>
          </w:p>
        </w:tc>
        <w:tc>
          <w:tcPr>
            <w:tcW w:type="dxa" w:w="70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Approximately 333 to 334 units per call-off; actual schedule prevails</w:t>
            </w:r>
          </w:p>
        </w:tc>
      </w:tr>
      <w:tr>
        <w:tc>
          <w:tcPr>
            <w:tcW w:type="dxa" w:w="28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Schedule horizon</w:t>
            </w:r>
          </w:p>
        </w:tc>
        <w:tc>
          <w:tcPr>
            <w:tcW w:type="dxa" w:w="70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Twelve-week rolling forecast; first seven days frozen, next 21 days firm planning, balance forecast only</w:t>
            </w:r>
          </w:p>
        </w:tc>
      </w:tr>
      <w:tr>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Flexibility</w:t>
            </w:r>
          </w:p>
        </w:tc>
        <w:tc>
          <w:tcPr>
            <w:tcW w:type="dxa" w:w="70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Ability to support plus or minus 20 percent within the firm horizon by mutual coordination</w:t>
            </w:r>
          </w:p>
        </w:tc>
      </w:tr>
      <w:tr>
        <w:tc>
          <w:tcPr>
            <w:tcW w:type="dxa" w:w="28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Delivery performance</w:t>
            </w:r>
          </w:p>
        </w:tc>
        <w:tc>
          <w:tcPr>
            <w:tcW w:type="dxa" w:w="70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Target 100 percent on-time and in-full against the confirmed delivery window</w:t>
            </w:r>
          </w:p>
        </w:tc>
      </w:tr>
      <w:tr>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Advance shipment notice</w:t>
            </w:r>
          </w:p>
        </w:tc>
        <w:tc>
          <w:tcPr>
            <w:tcW w:type="dxa" w:w="70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Electronic ASN before dispatch with PO, part, quantity, lot, vehicle and ETA details</w:t>
            </w:r>
          </w:p>
        </w:tc>
      </w:tr>
      <w:tr>
        <w:tc>
          <w:tcPr>
            <w:tcW w:type="dxa" w:w="28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Buffer</w:t>
            </w:r>
          </w:p>
        </w:tc>
        <w:tc>
          <w:tcPr>
            <w:tcW w:type="dxa" w:w="70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Supplier-controlled finished-goods buffer proposed by supplier; target one delivery lot unless otherwise agreed</w:t>
            </w:r>
          </w:p>
        </w:tc>
      </w:tr>
    </w:tbl>
    <w:p>
      <w:pPr>
        <w:spacing w:after="0"/>
        <w:widowControl/>
      </w:pPr>
    </w:p>
    <w:p>
      <w:pPr>
        <w:pStyle w:val="Heading2"/>
        <w:keepNext/>
        <w:widowControl/>
      </w:pPr>
      <w:r>
        <w:rPr>
          <w:color w:val="000000"/>
        </w:rPr>
        <w:t>7.2 Packaging and labelling</w:t>
      </w:r>
    </w:p>
    <w:p>
      <w:pPr>
        <w:pStyle w:val="ListBullet"/>
        <w:widowControl/>
      </w:pPr>
      <w:r>
        <w:t>Use returnable or recyclable packaging that prevents corrosion, deformation, edge damage, part-to-part abrasion and contamination through transport and storage.</w:t>
      </w:r>
    </w:p>
    <w:p>
      <w:pPr>
        <w:pStyle w:val="ListBullet"/>
        <w:widowControl/>
      </w:pPr>
      <w:r>
        <w:t>Obtain buyer approval for pack quantity, container, separators, preservation method, label and stacking pattern before production release.</w:t>
      </w:r>
    </w:p>
    <w:p>
      <w:pPr>
        <w:pStyle w:val="ListBullet"/>
        <w:widowControl/>
      </w:pPr>
      <w:r>
        <w:t>Each container label shall show buyer and supplier names, PO, part number and revision, description, quantity, lot or batch, manufacturing date, inspection status and unique traceability code.</w:t>
      </w:r>
    </w:p>
    <w:p>
      <w:pPr>
        <w:pStyle w:val="ListBullet"/>
        <w:widowControl/>
      </w:pPr>
      <w:r>
        <w:t>Mixed revisions or mixed traceability lots in one container are prohibited unless expressly approved and clearly segregated.</w:t>
      </w:r>
    </w:p>
    <w:p>
      <w:pPr>
        <w:pStyle w:val="ListBullet"/>
        <w:widowControl/>
      </w:pPr>
      <w:r>
        <w:t>Supplier shall quote packaging and logistics cost separately and state the returnable-packaging circulation assumption.</w:t>
      </w:r>
    </w:p>
    <w:p>
      <w:pPr>
        <w:pStyle w:val="Heading2"/>
        <w:keepNext/>
        <w:widowControl/>
      </w:pPr>
      <w:r>
        <w:rPr>
          <w:color w:val="000000"/>
        </w:rPr>
        <w:t>7.3 Logistics continuity</w:t>
      </w:r>
    </w:p>
    <w:p>
      <w:pPr>
        <w:pStyle w:val="BodyText"/>
        <w:widowControl/>
      </w:pPr>
      <w:r>
        <w:t>The supplier shall maintain a documented response for vehicle breakdown, traffic disruption, labour shortage, equipment failure, power loss, sub-tier delay and quality containment. Premium freight caused by supplier failure is at supplier cost. The supplier shall nominate 24-hour escalation contacts during production.</w:t>
      </w:r>
    </w:p>
    <w:p>
      <w:pPr>
        <w:widowControl/>
      </w:pPr>
      <w:r>
        <w:br w:type="page"/>
      </w:r>
    </w:p>
    <w:p>
      <w:pPr>
        <w:pStyle w:val="Heading1"/>
        <w:keepNext/>
        <w:widowControl/>
      </w:pPr>
      <w:r>
        <w:rPr>
          <w:color w:val="000000"/>
        </w:rPr>
        <w:t>8 Commercial and payment terms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02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Commercial item</w:t>
            </w:r>
          </w:p>
        </w:tc>
        <w:tc>
          <w:tcPr>
            <w:tcW w:type="dxa" w:w="691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RFQ requirement</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Currency</w:t>
            </w:r>
          </w:p>
        </w:tc>
        <w:tc>
          <w:tcPr>
            <w:tcW w:type="dxa" w:w="69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Indian rupees</w:t>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Price basis</w:t>
            </w:r>
          </w:p>
        </w:tc>
        <w:tc>
          <w:tcPr>
            <w:tcW w:type="dxa" w:w="69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Firm for the initial three-month programme; quote ex-works and FOR buyer plant separately if requested</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Freight</w:t>
            </w:r>
          </w:p>
        </w:tc>
        <w:tc>
          <w:tcPr>
            <w:tcW w:type="dxa" w:w="69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Included in quoted delivered part price unless separately stated</w:t>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GST and statutory taxes</w:t>
            </w:r>
          </w:p>
        </w:tc>
        <w:tc>
          <w:tcPr>
            <w:tcW w:type="dxa" w:w="69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Shown separately at applicable rates</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Payment</w:t>
            </w:r>
          </w:p>
        </w:tc>
        <w:tc>
          <w:tcPr>
            <w:tcW w:type="dxa" w:w="69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60 days from receipt of correct tax invoice and accepted goods or GRN, subject to PO terms</w:t>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Quotation validity</w:t>
            </w:r>
          </w:p>
        </w:tc>
        <w:tc>
          <w:tcPr>
            <w:tcW w:type="dxa" w:w="69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Minimum 120 days from quotation deadline</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Tooling</w:t>
            </w:r>
          </w:p>
        </w:tc>
        <w:tc>
          <w:tcPr>
            <w:tcW w:type="dxa" w:w="69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One-time cost shown separately with milestone and ownership proposal</w:t>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Amortization</w:t>
            </w:r>
          </w:p>
        </w:tc>
        <w:tc>
          <w:tcPr>
            <w:tcW w:type="dxa" w:w="69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Any amortized tooling or development cost must show unit rate, volume basis and end condition</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Raw-material adjustment</w:t>
            </w:r>
          </w:p>
        </w:tc>
        <w:tc>
          <w:tcPr>
            <w:tcW w:type="dxa" w:w="69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No adjustment during initial programme unless expressly agreed through a defined transparent formula</w:t>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Minimum order quantity</w:t>
            </w:r>
          </w:p>
        </w:tc>
        <w:tc>
          <w:tcPr>
            <w:tcW w:type="dxa" w:w="69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State clearly; preference for alignment with three-day call-off</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Warranty</w:t>
            </w:r>
          </w:p>
        </w:tc>
        <w:tc>
          <w:tcPr>
            <w:tcW w:type="dxa" w:w="69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Conformity to specifications and freedom from defects for the period stated in final PO or supply agreement</w:t>
            </w:r>
          </w:p>
        </w:tc>
      </w:tr>
    </w:tbl>
    <w:p>
      <w:pPr>
        <w:spacing w:after="0"/>
        <w:widowControl/>
      </w:pPr>
    </w:p>
    <w:p>
      <w:pPr>
        <w:pStyle w:val="Heading2"/>
        <w:keepNext/>
        <w:widowControl/>
      </w:pPr>
      <w:r>
        <w:rPr>
          <w:color w:val="000000"/>
        </w:rPr>
        <w:t>8.1 Price breakdown</w:t>
      </w:r>
    </w:p>
    <w:p>
      <w:pPr>
        <w:pStyle w:val="BodyText"/>
        <w:widowControl/>
      </w:pPr>
      <w:r>
        <w:t>The supplier shall complete Annexure B and provide a transparent cost model. Quotations without sufficient cost visibility may be treated as incomplete. Any assumptions about metal index, yield, scrap credit, tooling life, coating source, inspection frequency, packaging cycles or logistics distance must be stated.</w:t>
      </w:r>
    </w:p>
    <w:p>
      <w:pPr>
        <w:pStyle w:val="Heading2"/>
        <w:keepNext/>
        <w:widowControl/>
      </w:pPr>
      <w:r>
        <w:rPr>
          <w:color w:val="000000"/>
        </w:rPr>
        <w:t>8.2 Taxes invoicing and reconciliation</w:t>
      </w:r>
    </w:p>
    <w:p>
      <w:pPr>
        <w:pStyle w:val="ListBullet"/>
        <w:widowControl/>
      </w:pPr>
      <w:r>
        <w:t>Invoices shall comply with applicable GST and e-invoicing requirements and reference the purchase order, receipt or delivery note and buyer part number.</w:t>
      </w:r>
    </w:p>
    <w:p>
      <w:pPr>
        <w:pStyle w:val="ListBullet"/>
        <w:widowControl/>
      </w:pPr>
      <w:r>
        <w:t>Supplier shall maintain accurate statutory registrations and timely tax filings. Buyer may withhold or recover amounts where supplier noncompliance denies lawful input tax credit, subject to applicable law and contract.</w:t>
      </w:r>
    </w:p>
    <w:p>
      <w:pPr>
        <w:pStyle w:val="ListBullet"/>
        <w:widowControl/>
      </w:pPr>
      <w:r>
        <w:t>Quantity, price and tax discrepancies shall be corrected promptly through compliant credit or debit documentation.</w:t>
      </w:r>
    </w:p>
    <w:p>
      <w:pPr>
        <w:pStyle w:val="Heading1"/>
        <w:keepNext/>
        <w:widowControl/>
      </w:pPr>
      <w:r>
        <w:rPr>
          <w:color w:val="000000"/>
        </w:rPr>
        <w:t>9 Supplier organization and business health</w:t>
      </w:r>
    </w:p>
    <w:p>
      <w:pPr>
        <w:pStyle w:val="BodyText"/>
        <w:widowControl/>
      </w:pPr>
      <w:r>
        <w:t>The buyer will assess whether the supplier has a stable organization capable of supporting an automotive JIT programme. Complete the organization response schedule and attach the most recent organization chart.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Assessment area</w:t>
            </w:r>
          </w:p>
        </w:tc>
        <w:tc>
          <w:tcPr>
            <w:tcW w:type="dxa" w:w="705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Information required</w:t>
            </w:r>
          </w:p>
        </w:tc>
      </w:tr>
      <w:tr>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Ownership and governance</w:t>
            </w:r>
          </w:p>
        </w:tc>
        <w:tc>
          <w:tcPr>
            <w:tcW w:type="dxa" w:w="70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Legal form, promoters or shareholders, board and authorized signatories</w:t>
            </w:r>
          </w:p>
        </w:tc>
      </w:tr>
      <w:tr>
        <w:tc>
          <w:tcPr>
            <w:tcW w:type="dxa" w:w="28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Leadership stability</w:t>
            </w:r>
          </w:p>
        </w:tc>
        <w:tc>
          <w:tcPr>
            <w:tcW w:type="dxa" w:w="70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Experience and tenure of plant head, operations, quality, engineering, finance and supply-chain leaders</w:t>
            </w:r>
          </w:p>
        </w:tc>
      </w:tr>
      <w:tr>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Organization structure</w:t>
            </w:r>
          </w:p>
        </w:tc>
        <w:tc>
          <w:tcPr>
            <w:tcW w:type="dxa" w:w="70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Reporting lines, programme ownership, escalation contacts and succession coverage</w:t>
            </w:r>
          </w:p>
        </w:tc>
      </w:tr>
      <w:tr>
        <w:tc>
          <w:tcPr>
            <w:tcW w:type="dxa" w:w="28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Workforce</w:t>
            </w:r>
          </w:p>
        </w:tc>
        <w:tc>
          <w:tcPr>
            <w:tcW w:type="dxa" w:w="70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Permanent and contract headcount, skills matrix, shift coverage, attrition, absenteeism and industrial relations</w:t>
            </w:r>
          </w:p>
        </w:tc>
      </w:tr>
      <w:tr>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Customer concentration</w:t>
            </w:r>
          </w:p>
        </w:tc>
        <w:tc>
          <w:tcPr>
            <w:tcW w:type="dxa" w:w="70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Top five customer shares and exposure to any single programme or sector</w:t>
            </w:r>
          </w:p>
        </w:tc>
      </w:tr>
      <w:tr>
        <w:tc>
          <w:tcPr>
            <w:tcW w:type="dxa" w:w="28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Operational performance</w:t>
            </w:r>
          </w:p>
        </w:tc>
        <w:tc>
          <w:tcPr>
            <w:tcW w:type="dxa" w:w="70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Three-year sales trend, capacity utilization, delivery performance, rejection levels and major disruptions</w:t>
            </w:r>
          </w:p>
        </w:tc>
      </w:tr>
      <w:tr>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Compliance and litigation</w:t>
            </w:r>
          </w:p>
        </w:tc>
        <w:tc>
          <w:tcPr>
            <w:tcW w:type="dxa" w:w="70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Material notices, prosecutions, insolvency matters, labour disputes, environmental actions or product recalls</w:t>
            </w:r>
          </w:p>
        </w:tc>
      </w:tr>
      <w:tr>
        <w:tc>
          <w:tcPr>
            <w:tcW w:type="dxa" w:w="28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Business reputation</w:t>
            </w:r>
          </w:p>
        </w:tc>
        <w:tc>
          <w:tcPr>
            <w:tcW w:type="dxa" w:w="70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Automotive references, awards, customer ratings and any suspension or debarment</w:t>
            </w:r>
          </w:p>
        </w:tc>
      </w:tr>
    </w:tbl>
    <w:p>
      <w:pPr>
        <w:spacing w:after="0"/>
        <w:widowControl/>
      </w:pPr>
    </w:p>
    <w:p>
      <w:pPr>
        <w:pStyle w:val="Heading1"/>
        <w:keepNext/>
        <w:widowControl/>
      </w:pPr>
      <w:r>
        <w:rPr>
          <w:color w:val="000000"/>
        </w:rPr>
        <w:t>10 Financial capability and liquidity</w:t>
      </w:r>
    </w:p>
    <w:p>
      <w:pPr>
        <w:pStyle w:val="BodyText"/>
        <w:widowControl/>
      </w:pPr>
      <w:r>
        <w:t>The supplier must have adequate liquidity and working-capital access to purchase material, operate the production process and sustain JIT deliveries while carrying receivables under a 60-day payment cycle. Financial assessment is a qualification criterion and may continue during the programme.</w:t>
      </w:r>
    </w:p>
    <w:p>
      <w:pPr>
        <w:pStyle w:val="Heading2"/>
        <w:keepNext/>
        <w:widowControl/>
      </w:pPr>
      <w:r>
        <w:rPr>
          <w:color w:val="000000"/>
        </w:rPr>
        <w:t>10.1 Required financial information</w:t>
      </w:r>
    </w:p>
    <w:p>
      <w:pPr>
        <w:pStyle w:val="ListBullet"/>
        <w:widowControl/>
      </w:pPr>
      <w:r>
        <w:t>Audited financial statements for the latest three completed financial years, including balance sheet, profit and loss account, cash-flow statement, notes and auditor report.</w:t>
      </w:r>
    </w:p>
    <w:p>
      <w:pPr>
        <w:pStyle w:val="ListBullet"/>
        <w:widowControl/>
      </w:pPr>
      <w:r>
        <w:t>Latest provisional management accounts if the most recent audited year ended more than six months before quotation.</w:t>
      </w:r>
    </w:p>
    <w:p>
      <w:pPr>
        <w:pStyle w:val="ListBullet"/>
        <w:widowControl/>
      </w:pPr>
      <w:r>
        <w:t>Details of sanctioned and utilized fund-based and non-fund-based bank limits, principal bankers and renewal dates.</w:t>
      </w:r>
    </w:p>
    <w:p>
      <w:pPr>
        <w:pStyle w:val="ListBullet"/>
        <w:widowControl/>
      </w:pPr>
      <w:r>
        <w:t>Current ratio, quick ratio, debt-equity ratio, interest coverage, DSCR, operating cash flow, receivable days, inventory days and payable days for three years.</w:t>
      </w:r>
    </w:p>
    <w:p>
      <w:pPr>
        <w:pStyle w:val="ListBullet"/>
        <w:widowControl/>
      </w:pPr>
      <w:r>
        <w:t>Disclosure of overdue statutory dues, loan defaults, non-performing asset classification, restructuring, insolvency proceedings, significant contingent liabilities and material related-party exposures.</w:t>
      </w:r>
    </w:p>
    <w:p>
      <w:pPr>
        <w:pStyle w:val="ListBullet"/>
        <w:widowControl/>
      </w:pPr>
      <w:r>
        <w:t>Working-capital plan showing how the supplier will support raw material, work in progress, finished goods, logistics and at least 60 days of receivables for this programme.</w:t>
      </w:r>
    </w:p>
    <w:p>
      <w:pPr>
        <w:pStyle w:val="Heading2"/>
        <w:keepNext/>
        <w:widowControl/>
      </w:pPr>
      <w:r>
        <w:rPr>
          <w:color w:val="000000"/>
        </w:rPr>
        <w:t>10.2 Indicative financial assessment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8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Area</w:t>
            </w:r>
          </w:p>
        </w:tc>
        <w:tc>
          <w:tcPr>
            <w:tcW w:type="dxa" w:w="460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Indicative expectation</w:t>
            </w:r>
          </w:p>
        </w:tc>
        <w:tc>
          <w:tcPr>
            <w:tcW w:type="dxa" w:w="324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Supplier explanation if not met</w:t>
            </w:r>
          </w:p>
        </w:tc>
      </w:tr>
      <w:tr>
        <w:tc>
          <w:tcPr>
            <w:tcW w:type="dxa" w:w="20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Liquidity</w:t>
            </w:r>
          </w:p>
        </w:tc>
        <w:tc>
          <w:tcPr>
            <w:tcW w:type="dxa" w:w="46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Current ratio preferably at least 1.20 and positive available working capital</w:t>
            </w:r>
          </w:p>
        </w:tc>
        <w:tc>
          <w:tcPr>
            <w:tcW w:type="dxa" w:w="32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20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Leverage</w:t>
            </w:r>
          </w:p>
        </w:tc>
        <w:tc>
          <w:tcPr>
            <w:tcW w:type="dxa" w:w="46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Sustainable debt profile with no unresolved default</w:t>
            </w:r>
          </w:p>
        </w:tc>
        <w:tc>
          <w:tcPr>
            <w:tcW w:type="dxa" w:w="32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20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Cash generation</w:t>
            </w:r>
          </w:p>
        </w:tc>
        <w:tc>
          <w:tcPr>
            <w:tcW w:type="dxa" w:w="46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Positive or credibly improving operating cash flow</w:t>
            </w:r>
          </w:p>
        </w:tc>
        <w:tc>
          <w:tcPr>
            <w:tcW w:type="dxa" w:w="32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20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Banking support</w:t>
            </w:r>
          </w:p>
        </w:tc>
        <w:tc>
          <w:tcPr>
            <w:tcW w:type="dxa" w:w="46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Sanctioned lines adequate for 60-day buyer credit and programme peak</w:t>
            </w:r>
          </w:p>
        </w:tc>
        <w:tc>
          <w:tcPr>
            <w:tcW w:type="dxa" w:w="32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20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Net worth</w:t>
            </w:r>
          </w:p>
        </w:tc>
        <w:tc>
          <w:tcPr>
            <w:tcW w:type="dxa" w:w="46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Positive net worth with no material erosion threatening continuity</w:t>
            </w:r>
          </w:p>
        </w:tc>
        <w:tc>
          <w:tcPr>
            <w:tcW w:type="dxa" w:w="32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20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Statutory status</w:t>
            </w:r>
          </w:p>
        </w:tc>
        <w:tc>
          <w:tcPr>
            <w:tcW w:type="dxa" w:w="46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No material overdue tax, PF, ESI or similar dues</w:t>
            </w:r>
          </w:p>
        </w:tc>
        <w:tc>
          <w:tcPr>
            <w:tcW w:type="dxa" w:w="32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bl>
    <w:p>
      <w:pPr>
        <w:spacing w:after="0"/>
        <w:widowControl/>
      </w:pPr>
    </w:p>
    <w:p>
      <w:pPr>
        <w:pStyle w:val="BodyText"/>
        <w:widowControl/>
      </w:pPr>
      <w:r>
        <w:t>The values above are assessment guides rather than automatic award thresholds. The buyer may request banker confirmation, credit reports, guarantees, performance security, milestone-based tooling terms or other risk controls depending on the assessment.</w:t>
      </w:r>
    </w:p>
    <w:p>
      <w:pPr>
        <w:widowControl/>
      </w:pPr>
      <w:r>
        <w:br w:type="page"/>
      </w:r>
    </w:p>
    <w:p>
      <w:pPr>
        <w:pStyle w:val="Heading1"/>
        <w:keepNext/>
        <w:widowControl/>
      </w:pPr>
      <w:r>
        <w:rPr>
          <w:color w:val="000000"/>
        </w:rPr>
        <w:t>11 ESG EHS and responsible business</w:t>
      </w:r>
    </w:p>
    <w:p>
      <w:pPr>
        <w:pStyle w:val="Heading2"/>
        <w:keepNext/>
        <w:widowControl/>
      </w:pPr>
      <w:r>
        <w:rPr>
          <w:color w:val="000000"/>
        </w:rPr>
        <w:t>11.1 Environmental management</w:t>
      </w:r>
    </w:p>
    <w:p>
      <w:pPr>
        <w:pStyle w:val="ListBullet"/>
        <w:widowControl/>
      </w:pPr>
      <w:r>
        <w:t>Maintain all required environmental consents, authorizations and records for air emissions, wastewater, hazardous waste, plating or coating, noise and material storage.</w:t>
      </w:r>
    </w:p>
    <w:p>
      <w:pPr>
        <w:pStyle w:val="ListBullet"/>
        <w:widowControl/>
      </w:pPr>
      <w:r>
        <w:t>Report electricity and fuel consumption, renewable-energy share, Scope 1 and Scope 2 greenhouse-gas emissions, water withdrawal, waste generation and recycling for the manufacturing site where available.</w:t>
      </w:r>
    </w:p>
    <w:p>
      <w:pPr>
        <w:pStyle w:val="ListBullet"/>
        <w:widowControl/>
      </w:pPr>
      <w:r>
        <w:t>Control metal scrap, cutting fluids, oils, chemicals, sludge and packaging waste through licensed handlers and documented manifests.</w:t>
      </w:r>
    </w:p>
    <w:p>
      <w:pPr>
        <w:pStyle w:val="ListBullet"/>
        <w:widowControl/>
      </w:pPr>
      <w:r>
        <w:t>Disclose restricted substances and support material declarations, IMDS or equivalent reporting where required. Comply with buyer-specified RoHS, REACH or end-customer requirements applicable to the part.</w:t>
      </w:r>
    </w:p>
    <w:p>
      <w:pPr>
        <w:pStyle w:val="ListBullet"/>
        <w:widowControl/>
      </w:pPr>
      <w:r>
        <w:t>Identify practical opportunities to reduce material loss, energy use, water use, hazardous substances and transport emissions without compromising quality.</w:t>
      </w:r>
    </w:p>
    <w:p>
      <w:pPr>
        <w:pStyle w:val="Heading2"/>
        <w:keepNext/>
        <w:widowControl/>
      </w:pPr>
      <w:r>
        <w:rPr>
          <w:color w:val="000000"/>
        </w:rPr>
        <w:t>11.2 Occupational health and safety</w:t>
      </w:r>
    </w:p>
    <w:p>
      <w:pPr>
        <w:pStyle w:val="ListBullet"/>
        <w:widowControl/>
      </w:pPr>
      <w:r>
        <w:t>Provide safe guarding, interlocks, two-hand controls or light curtains as applicable for presses and forming equipment.</w:t>
      </w:r>
    </w:p>
    <w:p>
      <w:pPr>
        <w:pStyle w:val="ListBullet"/>
        <w:widowControl/>
      </w:pPr>
      <w:r>
        <w:t>Maintain risk assessments, lockout-tagout, die-change controls, lifting plans, chemical safety, PPE, training, incident reporting, emergency response and periodic medical surveillance as required.</w:t>
      </w:r>
    </w:p>
    <w:p>
      <w:pPr>
        <w:pStyle w:val="ListBullet"/>
        <w:widowControl/>
      </w:pPr>
      <w:r>
        <w:t>Report fatalities, lost-time injuries and major regulatory notices for the last three years, together with corrective actions.</w:t>
      </w:r>
    </w:p>
    <w:p>
      <w:pPr>
        <w:pStyle w:val="Heading2"/>
        <w:keepNext/>
        <w:widowControl/>
      </w:pPr>
      <w:r>
        <w:rPr>
          <w:color w:val="000000"/>
        </w:rPr>
        <w:t>11.3 Labour and human rights</w:t>
      </w:r>
    </w:p>
    <w:p>
      <w:pPr>
        <w:pStyle w:val="ListBullet"/>
        <w:widowControl/>
      </w:pPr>
      <w:r>
        <w:t>Prohibit child labour, forced labour, trafficking, harassment and discrimination, including throughout relevant sub-tier operations.</w:t>
      </w:r>
    </w:p>
    <w:p>
      <w:pPr>
        <w:pStyle w:val="ListBullet"/>
        <w:widowControl/>
      </w:pPr>
      <w:r>
        <w:t>Comply with applicable wages, working hours, social security, freedom of association and contract-labour requirements.</w:t>
      </w:r>
    </w:p>
    <w:p>
      <w:pPr>
        <w:pStyle w:val="ListBullet"/>
        <w:widowControl/>
      </w:pPr>
      <w:r>
        <w:t>Maintain a worker grievance mechanism and protect complainants from retaliation.</w:t>
      </w:r>
    </w:p>
    <w:p>
      <w:pPr>
        <w:pStyle w:val="Heading2"/>
        <w:keepNext/>
        <w:widowControl/>
      </w:pPr>
      <w:r>
        <w:rPr>
          <w:color w:val="000000"/>
        </w:rPr>
        <w:t>11.4 Ethics and responsible sourcing</w:t>
      </w:r>
    </w:p>
    <w:p>
      <w:pPr>
        <w:pStyle w:val="ListBullet"/>
        <w:widowControl/>
      </w:pPr>
      <w:r>
        <w:t>Maintain controls against bribery, facilitation payments, fraud, kickbacks, conflicts of interest and improper gifts.</w:t>
      </w:r>
    </w:p>
    <w:p>
      <w:pPr>
        <w:pStyle w:val="ListBullet"/>
        <w:widowControl/>
      </w:pPr>
      <w:r>
        <w:t>Disclose any personal, financial or business relationship with buyer employees that could create an actual or perceived conflict.</w:t>
      </w:r>
    </w:p>
    <w:p>
      <w:pPr>
        <w:pStyle w:val="ListBullet"/>
        <w:widowControl/>
      </w:pPr>
      <w:r>
        <w:t>Source steel, coatings and services from lawful and responsible sources and provide origin or chain-of-custody information when reasonably requested.</w:t>
      </w:r>
    </w:p>
    <w:p>
      <w:pPr>
        <w:pStyle w:val="ListBullet"/>
        <w:widowControl/>
      </w:pPr>
      <w:r>
        <w:t>Flow relevant environmental, labour, safety, quality and ethics requirements to sub-tier suppliers.</w:t>
      </w:r>
    </w:p>
    <w:p>
      <w:pPr>
        <w:pStyle w:val="Heading1"/>
        <w:keepNext/>
        <w:widowControl/>
      </w:pPr>
      <w:r>
        <w:rPr>
          <w:color w:val="000000"/>
        </w:rPr>
        <w:t>12 Information security and business continuity</w:t>
      </w:r>
    </w:p>
    <w:p>
      <w:pPr>
        <w:pStyle w:val="Heading2"/>
        <w:keepNext/>
        <w:widowControl/>
      </w:pPr>
      <w:r>
        <w:rPr>
          <w:color w:val="000000"/>
        </w:rPr>
        <w:t>12.1 Information and drawing protection</w:t>
      </w:r>
    </w:p>
    <w:p>
      <w:pPr>
        <w:pStyle w:val="ListBullet"/>
        <w:widowControl/>
      </w:pPr>
      <w:r>
        <w:t>Restrict drawings, 3D models, specifications, pricing and programme information to authorized personnel and approved sub-tier suppliers with equivalent confidentiality obligations.</w:t>
      </w:r>
    </w:p>
    <w:p>
      <w:pPr>
        <w:pStyle w:val="ListBullet"/>
        <w:widowControl/>
      </w:pPr>
      <w:r>
        <w:t>Use controlled storage, access management, backup, malware protection and secure transfer for buyer data. Notify the buyer promptly of any suspected loss, unauthorized access or cyber incident affecting buyer information.</w:t>
      </w:r>
    </w:p>
    <w:p>
      <w:pPr>
        <w:pStyle w:val="ListBullet"/>
        <w:widowControl/>
      </w:pPr>
      <w:r>
        <w:t>Return or securely destroy buyer information at programme end when requested, subject to lawful record-retention requirements.</w:t>
      </w:r>
    </w:p>
    <w:p>
      <w:pPr>
        <w:pStyle w:val="Heading2"/>
        <w:keepNext/>
        <w:widowControl/>
      </w:pPr>
      <w:r>
        <w:rPr>
          <w:color w:val="000000"/>
        </w:rPr>
        <w:t>12.2 Business continuity</w:t>
      </w:r>
    </w:p>
    <w:p>
      <w:pPr>
        <w:pStyle w:val="BodyText"/>
        <w:widowControl/>
      </w:pPr>
      <w:r>
        <w:t>Submit a site-specific business-continuity plan addressing fire, flood, power failure, cyberattack, equipment breakdown, tool damage, labour disruption, logistics interruption, critical-supplier failure and key-person dependency. State recovery time, alternate equipment or sites, spare-tool strategy, emergency contacts, insurance coverage and test frequency.</w:t>
      </w:r>
    </w:p>
    <w:p>
      <w:pPr>
        <w:pStyle w:val="Heading1"/>
        <w:keepNext/>
        <w:widowControl/>
      </w:pPr>
      <w:r>
        <w:rPr>
          <w:color w:val="000000"/>
        </w:rPr>
        <w:t>13 Evaluation and award process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748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Evaluation category</w:t>
            </w:r>
          </w:p>
        </w:tc>
        <w:tc>
          <w:tcPr>
            <w:tcW w:type="dxa" w:w="244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Indicative weight</w:t>
            </w:r>
          </w:p>
        </w:tc>
      </w:tr>
      <w:tr>
        <w:tc>
          <w:tcPr>
            <w:tcW w:type="dxa" w:w="74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Technical feasibility process and equipment</w:t>
            </w:r>
          </w:p>
        </w:tc>
        <w:tc>
          <w:tcPr>
            <w:tcW w:type="dxa" w:w="24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25 percent</w:t>
            </w:r>
          </w:p>
        </w:tc>
      </w:tr>
      <w:tr>
        <w:tc>
          <w:tcPr>
            <w:tcW w:type="dxa" w:w="74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Quality system APQP and automotive performance</w:t>
            </w:r>
          </w:p>
        </w:tc>
        <w:tc>
          <w:tcPr>
            <w:tcW w:type="dxa" w:w="24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20 percent</w:t>
            </w:r>
          </w:p>
        </w:tc>
      </w:tr>
      <w:tr>
        <w:tc>
          <w:tcPr>
            <w:tcW w:type="dxa" w:w="74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Commercial competitiveness and cost transparency</w:t>
            </w:r>
          </w:p>
        </w:tc>
        <w:tc>
          <w:tcPr>
            <w:tcW w:type="dxa" w:w="24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20 percent</w:t>
            </w:r>
          </w:p>
        </w:tc>
      </w:tr>
      <w:tr>
        <w:tc>
          <w:tcPr>
            <w:tcW w:type="dxa" w:w="74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Capacity JIT logistics and programme readiness</w:t>
            </w:r>
          </w:p>
        </w:tc>
        <w:tc>
          <w:tcPr>
            <w:tcW w:type="dxa" w:w="24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15 percent</w:t>
            </w:r>
          </w:p>
        </w:tc>
      </w:tr>
      <w:tr>
        <w:tc>
          <w:tcPr>
            <w:tcW w:type="dxa" w:w="74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Financial health and liquidity</w:t>
            </w:r>
          </w:p>
        </w:tc>
        <w:tc>
          <w:tcPr>
            <w:tcW w:type="dxa" w:w="24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10 percent</w:t>
            </w:r>
          </w:p>
        </w:tc>
      </w:tr>
      <w:tr>
        <w:tc>
          <w:tcPr>
            <w:tcW w:type="dxa" w:w="74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Organization ESG EHS ethics and continuity</w:t>
            </w:r>
          </w:p>
        </w:tc>
        <w:tc>
          <w:tcPr>
            <w:tcW w:type="dxa" w:w="24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10 percent</w:t>
            </w:r>
          </w:p>
        </w:tc>
      </w:tr>
    </w:tbl>
    <w:p>
      <w:pPr>
        <w:spacing w:after="0"/>
        <w:widowControl/>
      </w:pPr>
    </w:p>
    <w:p>
      <w:pPr>
        <w:pStyle w:val="BodyText"/>
        <w:widowControl/>
      </w:pPr>
      <w:r>
        <w:t>The buyer may conduct clarification meetings, plant audits, sample trials, run-at-rate assessments, financial diligence, reference checks and commercial negotiations. Weightings are indicative and may be adjusted before final evaluation. Mandatory requirements and unacceptable risk may override aggregate score.</w:t>
      </w:r>
    </w:p>
    <w:p>
      <w:pPr>
        <w:pStyle w:val="Heading2"/>
        <w:keepNext/>
        <w:widowControl/>
      </w:pPr>
      <w:r>
        <w:rPr>
          <w:color w:val="000000"/>
        </w:rPr>
        <w:t>13.1 Indicative sourcing schedule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33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Activity</w:t>
            </w:r>
          </w:p>
        </w:tc>
        <w:tc>
          <w:tcPr>
            <w:tcW w:type="dxa" w:w="360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Indicative date</w:t>
            </w:r>
          </w:p>
        </w:tc>
      </w:tr>
      <w:tr>
        <w:tc>
          <w:tcPr>
            <w:tcW w:type="dxa" w:w="633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RFQ issue</w:t>
            </w:r>
          </w:p>
        </w:tc>
        <w:tc>
          <w:tcPr>
            <w:tcW w:type="dxa" w:w="36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5 October 2026</w:t>
            </w:r>
          </w:p>
        </w:tc>
      </w:tr>
      <w:tr>
        <w:tc>
          <w:tcPr>
            <w:tcW w:type="dxa" w:w="633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Supplier questions</w:t>
            </w:r>
          </w:p>
        </w:tc>
        <w:tc>
          <w:tcPr>
            <w:tcW w:type="dxa" w:w="36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By 12 October 2026</w:t>
            </w:r>
          </w:p>
        </w:tc>
      </w:tr>
      <w:tr>
        <w:tc>
          <w:tcPr>
            <w:tcW w:type="dxa" w:w="633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Quotation submission</w:t>
            </w:r>
          </w:p>
        </w:tc>
        <w:tc>
          <w:tcPr>
            <w:tcW w:type="dxa" w:w="36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19 October 2026</w:t>
            </w:r>
          </w:p>
        </w:tc>
      </w:tr>
      <w:tr>
        <w:tc>
          <w:tcPr>
            <w:tcW w:type="dxa" w:w="633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Clarification and shortlist</w:t>
            </w:r>
          </w:p>
        </w:tc>
        <w:tc>
          <w:tcPr>
            <w:tcW w:type="dxa" w:w="36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20 to 23 October 2026</w:t>
            </w:r>
          </w:p>
        </w:tc>
      </w:tr>
      <w:tr>
        <w:tc>
          <w:tcPr>
            <w:tcW w:type="dxa" w:w="633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Supplier audit or technical review</w:t>
            </w:r>
          </w:p>
        </w:tc>
        <w:tc>
          <w:tcPr>
            <w:tcW w:type="dxa" w:w="36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26 to 28 October 2026</w:t>
            </w:r>
          </w:p>
        </w:tc>
      </w:tr>
      <w:tr>
        <w:tc>
          <w:tcPr>
            <w:tcW w:type="dxa" w:w="633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Indicative award</w:t>
            </w:r>
          </w:p>
        </w:tc>
        <w:tc>
          <w:tcPr>
            <w:tcW w:type="dxa" w:w="36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30 October 2026</w:t>
            </w:r>
          </w:p>
        </w:tc>
      </w:tr>
      <w:tr>
        <w:tc>
          <w:tcPr>
            <w:tcW w:type="dxa" w:w="633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Tooling trial and PPAP</w:t>
            </w:r>
          </w:p>
        </w:tc>
        <w:tc>
          <w:tcPr>
            <w:tcW w:type="dxa" w:w="36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As agreed in awarded timing plan</w:t>
            </w:r>
          </w:p>
        </w:tc>
      </w:tr>
      <w:tr>
        <w:tc>
          <w:tcPr>
            <w:tcW w:type="dxa" w:w="633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Indicative start of production</w:t>
            </w:r>
          </w:p>
        </w:tc>
        <w:tc>
          <w:tcPr>
            <w:tcW w:type="dxa" w:w="36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t>16 November 2026, subject to approval</w:t>
            </w:r>
          </w:p>
        </w:tc>
      </w:tr>
    </w:tbl>
    <w:p>
      <w:pPr>
        <w:spacing w:after="0"/>
        <w:widowControl/>
      </w:pPr>
    </w:p>
    <w:p>
      <w:pPr>
        <w:pStyle w:val="Heading1"/>
        <w:keepNext/>
        <w:widowControl/>
      </w:pPr>
      <w:r>
        <w:rPr>
          <w:color w:val="000000"/>
        </w:rPr>
        <w:t>14 General RFQ terms</w:t>
      </w:r>
    </w:p>
    <w:p>
      <w:pPr>
        <w:pStyle w:val="ListNumber"/>
        <w:widowControl/>
      </w:pPr>
      <w:r>
        <w:t>This RFQ is an invitation to quote and does not constitute a purchase order, contract, promise of volume or obligation to award business.</w:t>
      </w:r>
    </w:p>
    <w:p>
      <w:pPr>
        <w:pStyle w:val="ListNumber"/>
        <w:widowControl/>
      </w:pPr>
      <w:r>
        <w:t>The supplier bears its own quotation, sample, audit and negotiation costs unless the buyer agrees otherwise in writing.</w:t>
      </w:r>
    </w:p>
    <w:p>
      <w:pPr>
        <w:pStyle w:val="ListNumber"/>
        <w:widowControl/>
      </w:pPr>
      <w:r>
        <w:t>The buyer may accept or reject any response, request clarification, negotiate with one or more suppliers, modify or cancel the RFQ, or divide the award.</w:t>
      </w:r>
    </w:p>
    <w:p>
      <w:pPr>
        <w:pStyle w:val="ListNumber"/>
        <w:widowControl/>
      </w:pPr>
      <w:r>
        <w:t>No deviation is effective unless expressly accepted in the purchase order or signed agreement. Silence, sample approval or receipt of goods does not accept an unstated deviation.</w:t>
      </w:r>
    </w:p>
    <w:p>
      <w:pPr>
        <w:pStyle w:val="ListNumber"/>
        <w:widowControl/>
      </w:pPr>
      <w:r>
        <w:t>Supplier information will be handled for sourcing and due-diligence purposes, subject to applicable confidentiality arrangements. The supplier shall identify legitimately confidential financial information.</w:t>
      </w:r>
    </w:p>
    <w:p>
      <w:pPr>
        <w:pStyle w:val="ListNumber"/>
        <w:widowControl/>
      </w:pPr>
      <w:r>
        <w:t>Awarded supply will be governed by the final purchase order, drawings, quality agreement, logistics agreement and any executed master terms. In case of conflict, the precedence stated in the final contract applies.</w:t>
      </w:r>
    </w:p>
    <w:p>
      <w:pPr>
        <w:pStyle w:val="ListNumber"/>
        <w:widowControl/>
      </w:pPr>
      <w:r>
        <w:t>The supplier shall comply with applicable Indian laws and regulatory requirements and with end-customer requirements communicated in writing.</w:t>
      </w:r>
    </w:p>
    <w:p>
      <w:pPr>
        <w:pStyle w:val="ListNumber"/>
        <w:widowControl/>
      </w:pPr>
      <w:r>
        <w:t>Proposed subcontracting requires disclosure and does not relieve the supplier of responsibility for quality, delivery, compliance or confidentiality.</w:t>
      </w:r>
    </w:p>
    <w:p>
      <w:pPr>
        <w:widowControl/>
      </w:pPr>
      <w:r>
        <w:br w:type="page"/>
      </w:r>
    </w:p>
    <w:p>
      <w:pPr>
        <w:pStyle w:val="Heading1"/>
        <w:keepNext/>
        <w:widowControl/>
      </w:pPr>
      <w:r>
        <w:rPr>
          <w:color w:val="000000"/>
        </w:rPr>
        <w:t>Annexure A Supplier response schedules</w:t>
      </w:r>
    </w:p>
    <w:p>
      <w:pPr>
        <w:pStyle w:val="Heading2"/>
        <w:keepNext/>
        <w:widowControl/>
      </w:pPr>
      <w:r>
        <w:rPr>
          <w:color w:val="000000"/>
        </w:rPr>
        <w:t>A1 Supplier identity and contacts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Field</w:t>
            </w:r>
          </w:p>
        </w:tc>
        <w:tc>
          <w:tcPr>
            <w:tcW w:type="dxa" w:w="676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Legal company name</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Registered office</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Manufacturing site proposed</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Corporate identification number</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GSTIN</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Year established</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Ownership type and key shareholders</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Primary RFQ contact</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Technical contact</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Quality contact</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Logistics escalation contact</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Finance contact</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bl>
    <w:p>
      <w:pPr>
        <w:spacing w:after="0"/>
        <w:widowControl/>
      </w:pPr>
    </w:p>
    <w:p>
      <w:pPr>
        <w:pStyle w:val="Heading2"/>
        <w:keepNext/>
        <w:widowControl/>
      </w:pPr>
      <w:r>
        <w:rPr>
          <w:color w:val="000000"/>
        </w:rPr>
        <w:t>A2 Organization and experience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40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Question</w:t>
            </w:r>
          </w:p>
        </w:tc>
        <w:tc>
          <w:tcPr>
            <w:tcW w:type="dxa" w:w="453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Supplier response and evidence reference</w:t>
            </w:r>
          </w:p>
        </w:tc>
      </w:tr>
      <w:tr>
        <w:tc>
          <w:tcPr>
            <w:tcW w:type="dxa" w:w="54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Describe relevant experience in sheet metal pressing, bending and machining.</w:t>
            </w:r>
          </w:p>
        </w:tc>
        <w:tc>
          <w:tcPr>
            <w:tcW w:type="dxa" w:w="453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4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List automotive or allied-industry programmes of comparable complexity completed in the last five years.</w:t>
            </w:r>
          </w:p>
        </w:tc>
        <w:tc>
          <w:tcPr>
            <w:tcW w:type="dxa" w:w="453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4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Provide top five customers and approximate percentage of annual sales; indicate permission for reference checks.</w:t>
            </w:r>
          </w:p>
        </w:tc>
        <w:tc>
          <w:tcPr>
            <w:tcW w:type="dxa" w:w="453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4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Provide site organization chart and programme team with names, roles, experience and deputies.</w:t>
            </w:r>
          </w:p>
        </w:tc>
        <w:tc>
          <w:tcPr>
            <w:tcW w:type="dxa" w:w="453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4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State current permanent and contract headcount, shifts, attrition and critical skill gaps.</w:t>
            </w:r>
          </w:p>
        </w:tc>
        <w:tc>
          <w:tcPr>
            <w:tcW w:type="dxa" w:w="453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4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Disclose material litigation, regulatory notices, customer debarment, recall or insolvency matters.</w:t>
            </w:r>
          </w:p>
        </w:tc>
        <w:tc>
          <w:tcPr>
            <w:tcW w:type="dxa" w:w="453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bl>
    <w:p>
      <w:pPr>
        <w:spacing w:after="0"/>
        <w:widowControl/>
      </w:pPr>
    </w:p>
    <w:p>
      <w:pPr>
        <w:pStyle w:val="Heading2"/>
        <w:keepNext/>
        <w:widowControl/>
      </w:pPr>
      <w:r>
        <w:rPr>
          <w:color w:val="000000"/>
        </w:rPr>
        <w:t>A3 Automotive customer references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80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Customer</w:t>
            </w:r>
          </w:p>
        </w:tc>
        <w:tc>
          <w:tcPr>
            <w:tcW w:type="dxa" w:w="288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Component or process</w:t>
            </w:r>
          </w:p>
        </w:tc>
        <w:tc>
          <w:tcPr>
            <w:tcW w:type="dxa" w:w="144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Annual volume</w:t>
            </w:r>
          </w:p>
        </w:tc>
        <w:tc>
          <w:tcPr>
            <w:tcW w:type="dxa" w:w="158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Supply period</w:t>
            </w:r>
          </w:p>
        </w:tc>
        <w:tc>
          <w:tcPr>
            <w:tcW w:type="dxa" w:w="223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Reference contact</w:t>
            </w:r>
          </w:p>
        </w:tc>
      </w:tr>
      <w:tr>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r>
          </w:p>
        </w:tc>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r>
          </w:p>
        </w:tc>
        <w:tc>
          <w:tcPr>
            <w:tcW w:type="dxa" w:w="28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r>
          </w:p>
        </w:tc>
        <w:tc>
          <w:tcPr>
            <w:tcW w:type="dxa" w:w="28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bl>
    <w:p>
      <w:pPr>
        <w:spacing w:after="0"/>
        <w:widowControl/>
      </w:pPr>
    </w:p>
    <w:p>
      <w:pPr>
        <w:widowControl/>
      </w:pPr>
      <w:r>
        <w:br w:type="page"/>
      </w:r>
    </w:p>
    <w:p>
      <w:pPr>
        <w:pStyle w:val="Heading2"/>
        <w:keepNext/>
        <w:widowControl/>
      </w:pPr>
      <w:r>
        <w:rPr>
          <w:color w:val="000000"/>
        </w:rPr>
        <w:t>A4 Manufacturing equipment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180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Equipment</w:t>
            </w:r>
          </w:p>
        </w:tc>
        <w:tc>
          <w:tcPr>
            <w:tcW w:type="dxa" w:w="223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Make model and year</w:t>
            </w:r>
          </w:p>
        </w:tc>
        <w:tc>
          <w:tcPr>
            <w:tcW w:type="dxa" w:w="194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Capacity or accuracy</w:t>
            </w:r>
          </w:p>
        </w:tc>
        <w:tc>
          <w:tcPr>
            <w:tcW w:type="dxa" w:w="93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Quantity</w:t>
            </w:r>
          </w:p>
        </w:tc>
        <w:tc>
          <w:tcPr>
            <w:tcW w:type="dxa" w:w="129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Utilization</w:t>
            </w:r>
          </w:p>
        </w:tc>
        <w:tc>
          <w:tcPr>
            <w:tcW w:type="dxa" w:w="172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Owned or outsourced</w:t>
            </w:r>
          </w:p>
        </w:tc>
      </w:tr>
      <w:tr>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Presses</w:t>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93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2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CNC press brakes</w:t>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93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2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Laser or blanking equipment</w:t>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93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2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CNC VMC or machining centres</w:t>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93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2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Drilling reaming or tapping</w:t>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93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2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Deburring and finishing</w:t>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93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2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Surface treatment</w:t>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93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2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Material handling</w:t>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93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2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Backup equipment</w:t>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93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2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bl>
    <w:p>
      <w:pPr>
        <w:spacing w:after="0"/>
        <w:widowControl/>
      </w:pPr>
    </w:p>
    <w:p>
      <w:pPr>
        <w:pStyle w:val="Heading2"/>
        <w:keepNext/>
        <w:widowControl/>
      </w:pPr>
      <w:r>
        <w:rPr>
          <w:color w:val="000000"/>
        </w:rPr>
        <w:t>A5 Inspection and laboratory equipment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02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Gauge or equipment</w:t>
            </w:r>
          </w:p>
        </w:tc>
        <w:tc>
          <w:tcPr>
            <w:tcW w:type="dxa" w:w="194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Range accuracy</w:t>
            </w:r>
          </w:p>
        </w:tc>
        <w:tc>
          <w:tcPr>
            <w:tcW w:type="dxa" w:w="115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Quantity</w:t>
            </w:r>
          </w:p>
        </w:tc>
        <w:tc>
          <w:tcPr>
            <w:tcW w:type="dxa" w:w="223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Calibration status</w:t>
            </w:r>
          </w:p>
        </w:tc>
        <w:tc>
          <w:tcPr>
            <w:tcW w:type="dxa" w:w="158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Location</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CMM or vision system</w:t>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Height gauge and surface plate</w:t>
            </w:r>
          </w:p>
        </w:tc>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Bore or plug gauges</w:t>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Surface roughness tester</w:t>
            </w:r>
          </w:p>
        </w:tc>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Coating thickness gauge</w:t>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Hardness or material testing</w:t>
            </w:r>
          </w:p>
        </w:tc>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Salt spray access</w:t>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15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Other</w:t>
            </w:r>
          </w:p>
        </w:tc>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15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bl>
    <w:p>
      <w:pPr>
        <w:spacing w:after="0"/>
        <w:widowControl/>
      </w:pPr>
    </w:p>
    <w:p>
      <w:pPr>
        <w:pStyle w:val="Heading2"/>
        <w:keepNext/>
        <w:widowControl/>
      </w:pPr>
      <w:r>
        <w:rPr>
          <w:color w:val="000000"/>
        </w:rPr>
        <w:t>A6 Proposed manufacturing route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trPr>
        <w:tc>
          <w:tcPr>
            <w:tcW w:type="dxa" w:w="64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Step</w:t>
            </w:r>
          </w:p>
        </w:tc>
        <w:tc>
          <w:tcPr>
            <w:tcW w:type="dxa" w:w="187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Operation</w:t>
            </w:r>
          </w:p>
        </w:tc>
        <w:tc>
          <w:tcPr>
            <w:tcW w:type="dxa" w:w="201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Machine or source</w:t>
            </w:r>
          </w:p>
        </w:tc>
        <w:tc>
          <w:tcPr>
            <w:tcW w:type="dxa" w:w="259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Key controls</w:t>
            </w:r>
          </w:p>
        </w:tc>
        <w:tc>
          <w:tcPr>
            <w:tcW w:type="dxa" w:w="136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Cycle time seconds</w:t>
            </w:r>
          </w:p>
        </w:tc>
        <w:tc>
          <w:tcPr>
            <w:tcW w:type="dxa" w:w="144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In-house or sub-tier</w:t>
            </w:r>
          </w:p>
        </w:tc>
      </w:tr>
      <w:tr>
        <w:tc>
          <w:tcPr>
            <w:tcW w:type="dxa" w:w="6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1</w:t>
            </w:r>
          </w:p>
        </w:tc>
        <w:tc>
          <w:tcPr>
            <w:tcW w:type="dxa" w:w="187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01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3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6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2</w:t>
            </w:r>
          </w:p>
        </w:tc>
        <w:tc>
          <w:tcPr>
            <w:tcW w:type="dxa" w:w="187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01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3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6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3</w:t>
            </w:r>
          </w:p>
        </w:tc>
        <w:tc>
          <w:tcPr>
            <w:tcW w:type="dxa" w:w="187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01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3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6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4</w:t>
            </w:r>
          </w:p>
        </w:tc>
        <w:tc>
          <w:tcPr>
            <w:tcW w:type="dxa" w:w="187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01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3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6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5</w:t>
            </w:r>
          </w:p>
        </w:tc>
        <w:tc>
          <w:tcPr>
            <w:tcW w:type="dxa" w:w="187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01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3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6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6</w:t>
            </w:r>
          </w:p>
        </w:tc>
        <w:tc>
          <w:tcPr>
            <w:tcW w:type="dxa" w:w="187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01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3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6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7</w:t>
            </w:r>
          </w:p>
        </w:tc>
        <w:tc>
          <w:tcPr>
            <w:tcW w:type="dxa" w:w="187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01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3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6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8</w:t>
            </w:r>
          </w:p>
        </w:tc>
        <w:tc>
          <w:tcPr>
            <w:tcW w:type="dxa" w:w="187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01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3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6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9</w:t>
            </w:r>
          </w:p>
        </w:tc>
        <w:tc>
          <w:tcPr>
            <w:tcW w:type="dxa" w:w="187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01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3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6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10</w:t>
            </w:r>
          </w:p>
        </w:tc>
        <w:tc>
          <w:tcPr>
            <w:tcW w:type="dxa" w:w="187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01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3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bl>
    <w:p>
      <w:pPr>
        <w:spacing w:after="0"/>
        <w:widowControl/>
      </w:pPr>
    </w:p>
    <w:p>
      <w:pPr>
        <w:widowControl/>
      </w:pPr>
      <w:r>
        <w:br w:type="page"/>
      </w:r>
    </w:p>
    <w:p>
      <w:pPr>
        <w:pStyle w:val="Heading2"/>
        <w:keepNext/>
        <w:widowControl/>
      </w:pPr>
      <w:r>
        <w:rPr>
          <w:color w:val="000000"/>
        </w:rPr>
        <w:t>A7 Capacity and JIT plan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0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Capacity input</w:t>
            </w:r>
          </w:p>
        </w:tc>
        <w:tc>
          <w:tcPr>
            <w:tcW w:type="dxa" w:w="532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Supplier response</w:t>
            </w:r>
          </w:p>
        </w:tc>
      </w:tr>
      <w:tr>
        <w:tc>
          <w:tcPr>
            <w:tcW w:type="dxa" w:w="46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Quoted net cycle time at bottleneck</w:t>
            </w:r>
          </w:p>
        </w:tc>
        <w:tc>
          <w:tcPr>
            <w:tcW w:type="dxa" w:w="53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Available hours per day and shifts</w:t>
            </w:r>
          </w:p>
        </w:tc>
        <w:tc>
          <w:tcPr>
            <w:tcW w:type="dxa" w:w="53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Planned daily output</w:t>
            </w:r>
          </w:p>
        </w:tc>
        <w:tc>
          <w:tcPr>
            <w:tcW w:type="dxa" w:w="53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Maximum output with 20 percent surge</w:t>
            </w:r>
          </w:p>
        </w:tc>
        <w:tc>
          <w:tcPr>
            <w:tcW w:type="dxa" w:w="53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Current load on bottleneck equipment</w:t>
            </w:r>
          </w:p>
        </w:tc>
        <w:tc>
          <w:tcPr>
            <w:tcW w:type="dxa" w:w="53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Changeover time and batch-size assumption</w:t>
            </w:r>
          </w:p>
        </w:tc>
        <w:tc>
          <w:tcPr>
            <w:tcW w:type="dxa" w:w="53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Expected scrap and rework percentage</w:t>
            </w:r>
          </w:p>
        </w:tc>
        <w:tc>
          <w:tcPr>
            <w:tcW w:type="dxa" w:w="53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Proposed finished-goods buffer</w:t>
            </w:r>
          </w:p>
        </w:tc>
        <w:tc>
          <w:tcPr>
            <w:tcW w:type="dxa" w:w="53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Transport mode and normal transit time</w:t>
            </w:r>
          </w:p>
        </w:tc>
        <w:tc>
          <w:tcPr>
            <w:tcW w:type="dxa" w:w="53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Backup transport and production arrangement</w:t>
            </w:r>
          </w:p>
        </w:tc>
        <w:tc>
          <w:tcPr>
            <w:tcW w:type="dxa" w:w="53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bl>
    <w:p>
      <w:pPr>
        <w:spacing w:after="0"/>
        <w:widowControl/>
      </w:pPr>
    </w:p>
    <w:p>
      <w:pPr>
        <w:pStyle w:val="Heading2"/>
        <w:keepNext/>
        <w:widowControl/>
      </w:pPr>
      <w:r>
        <w:rPr>
          <w:color w:val="000000"/>
        </w:rPr>
        <w:t>A8 Certification and quality performance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1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Item</w:t>
            </w:r>
          </w:p>
        </w:tc>
        <w:tc>
          <w:tcPr>
            <w:tcW w:type="dxa" w:w="468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Certificate metric or response</w:t>
            </w:r>
          </w:p>
        </w:tc>
        <w:tc>
          <w:tcPr>
            <w:tcW w:type="dxa" w:w="194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Evidence attached</w:t>
            </w:r>
          </w:p>
        </w:tc>
      </w:tr>
      <w:tr>
        <w:tc>
          <w:tcPr>
            <w:tcW w:type="dxa" w:w="33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ISO 9001</w:t>
            </w:r>
          </w:p>
        </w:tc>
        <w:tc>
          <w:tcPr>
            <w:tcW w:type="dxa" w:w="46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r>
      <w:tr>
        <w:tc>
          <w:tcPr>
            <w:tcW w:type="dxa" w:w="33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IATF 16949</w:t>
            </w:r>
          </w:p>
        </w:tc>
        <w:tc>
          <w:tcPr>
            <w:tcW w:type="dxa" w:w="46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r>
      <w:tr>
        <w:tc>
          <w:tcPr>
            <w:tcW w:type="dxa" w:w="33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ISO 14001</w:t>
            </w:r>
          </w:p>
        </w:tc>
        <w:tc>
          <w:tcPr>
            <w:tcW w:type="dxa" w:w="46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r>
      <w:tr>
        <w:tc>
          <w:tcPr>
            <w:tcW w:type="dxa" w:w="33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ISO 45001</w:t>
            </w:r>
          </w:p>
        </w:tc>
        <w:tc>
          <w:tcPr>
            <w:tcW w:type="dxa" w:w="46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r>
      <w:tr>
        <w:tc>
          <w:tcPr>
            <w:tcW w:type="dxa" w:w="33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Other automotive or customer approvals</w:t>
            </w:r>
          </w:p>
        </w:tc>
        <w:tc>
          <w:tcPr>
            <w:tcW w:type="dxa" w:w="46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r>
      <w:tr>
        <w:tc>
          <w:tcPr>
            <w:tcW w:type="dxa" w:w="33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Customer PPM for latest 12 months</w:t>
            </w:r>
          </w:p>
        </w:tc>
        <w:tc>
          <w:tcPr>
            <w:tcW w:type="dxa" w:w="46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r>
      <w:tr>
        <w:tc>
          <w:tcPr>
            <w:tcW w:type="dxa" w:w="33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On-time delivery for latest 12 months</w:t>
            </w:r>
          </w:p>
        </w:tc>
        <w:tc>
          <w:tcPr>
            <w:tcW w:type="dxa" w:w="46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9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r>
      <w:tr>
        <w:tc>
          <w:tcPr>
            <w:tcW w:type="dxa" w:w="33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Customer complaints and 8Ds for latest 12 months</w:t>
            </w:r>
          </w:p>
        </w:tc>
        <w:tc>
          <w:tcPr>
            <w:tcW w:type="dxa" w:w="46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9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r>
    </w:tbl>
    <w:p>
      <w:pPr>
        <w:spacing w:after="0"/>
        <w:widowControl/>
      </w:pPr>
    </w:p>
    <w:p>
      <w:pPr>
        <w:pStyle w:val="Heading2"/>
        <w:keepNext/>
        <w:widowControl/>
      </w:pPr>
      <w:r>
        <w:rPr>
          <w:color w:val="000000"/>
        </w:rPr>
        <w:t>A9 Financial information</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352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Metric INR lakh unless stated</w:t>
            </w:r>
          </w:p>
        </w:tc>
        <w:tc>
          <w:tcPr>
            <w:tcW w:type="dxa" w:w="158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FY 2023 24</w:t>
            </w:r>
          </w:p>
        </w:tc>
        <w:tc>
          <w:tcPr>
            <w:tcW w:type="dxa" w:w="158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FY 2024 25</w:t>
            </w:r>
          </w:p>
        </w:tc>
        <w:tc>
          <w:tcPr>
            <w:tcW w:type="dxa" w:w="158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FY 2025 26</w:t>
            </w:r>
          </w:p>
        </w:tc>
        <w:tc>
          <w:tcPr>
            <w:tcW w:type="dxa" w:w="165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Latest provisional</w:t>
            </w:r>
          </w:p>
        </w:tc>
      </w:tr>
      <w:tr>
        <w:tc>
          <w:tcPr>
            <w:tcW w:type="dxa" w:w="35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Revenue</w:t>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6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35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EBITDA</w:t>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6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35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Profit after tax</w:t>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6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35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Net worth</w:t>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6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35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Total debt</w:t>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6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35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Current assets</w:t>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6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35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Current liabilities</w:t>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6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35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Operating cash flow</w:t>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6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35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Current ratio</w:t>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6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35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Debt equity</w:t>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6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35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Interest coverage</w:t>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6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35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Receivable days</w:t>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5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6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bl>
    <w:p>
      <w:pPr>
        <w:spacing w:after="0"/>
        <w:widowControl/>
      </w:pP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61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Liquidity question</w:t>
            </w:r>
          </w:p>
        </w:tc>
        <w:tc>
          <w:tcPr>
            <w:tcW w:type="dxa" w:w="432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Supplier response</w:t>
            </w:r>
          </w:p>
        </w:tc>
      </w:tr>
      <w:tr>
        <w:tc>
          <w:tcPr>
            <w:tcW w:type="dxa" w:w="561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Sanctioned fund-based working-capital limit and validity</w:t>
            </w:r>
          </w:p>
        </w:tc>
        <w:tc>
          <w:tcPr>
            <w:tcW w:type="dxa" w:w="43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61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Average and peak utilization during latest six months</w:t>
            </w:r>
          </w:p>
        </w:tc>
        <w:tc>
          <w:tcPr>
            <w:tcW w:type="dxa" w:w="43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61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Unutilized line available at quotation date</w:t>
            </w:r>
          </w:p>
        </w:tc>
        <w:tc>
          <w:tcPr>
            <w:tcW w:type="dxa" w:w="43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61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Estimated peak programme working-capital requirement</w:t>
            </w:r>
          </w:p>
        </w:tc>
        <w:tc>
          <w:tcPr>
            <w:tcW w:type="dxa" w:w="43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61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How will the supplier fund 60 days of receivables plus inventory and WIP</w:t>
            </w:r>
          </w:p>
        </w:tc>
        <w:tc>
          <w:tcPr>
            <w:tcW w:type="dxa" w:w="43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61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Any default, restructuring, NPA or insolvency event in last three years</w:t>
            </w:r>
          </w:p>
        </w:tc>
        <w:tc>
          <w:tcPr>
            <w:tcW w:type="dxa" w:w="43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bl>
    <w:p>
      <w:pPr>
        <w:spacing w:after="0"/>
        <w:widowControl/>
      </w:pPr>
    </w:p>
    <w:p>
      <w:pPr>
        <w:widowControl/>
      </w:pPr>
      <w:r>
        <w:br w:type="page"/>
      </w:r>
    </w:p>
    <w:p>
      <w:pPr>
        <w:pStyle w:val="Heading2"/>
        <w:keepNext/>
        <w:widowControl/>
      </w:pPr>
      <w:r>
        <w:rPr>
          <w:color w:val="000000"/>
        </w:rPr>
        <w:t>A10 ESG EHS and ethics questionnaire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18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Question</w:t>
            </w:r>
          </w:p>
        </w:tc>
        <w:tc>
          <w:tcPr>
            <w:tcW w:type="dxa" w:w="129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Yes No NA</w:t>
            </w:r>
          </w:p>
        </w:tc>
        <w:tc>
          <w:tcPr>
            <w:tcW w:type="dxa" w:w="345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Details evidence and improvement plan</w:t>
            </w:r>
          </w:p>
        </w:tc>
      </w:tr>
      <w:tr>
        <w:tc>
          <w:tcPr>
            <w:tcW w:type="dxa" w:w="51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Are all environmental and operating consents valid for the proposed site</w:t>
            </w:r>
          </w:p>
        </w:tc>
        <w:tc>
          <w:tcPr>
            <w:tcW w:type="dxa" w:w="12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4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1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Does the site track electricity fuel greenhouse gas emissions water and waste</w:t>
            </w:r>
          </w:p>
        </w:tc>
        <w:tc>
          <w:tcPr>
            <w:tcW w:type="dxa" w:w="12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4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1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Are hazardous materials and waste managed through authorized channels</w:t>
            </w:r>
          </w:p>
        </w:tc>
        <w:tc>
          <w:tcPr>
            <w:tcW w:type="dxa" w:w="12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4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1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Are press safety guarding lockout-tagout and die-change controls documented</w:t>
            </w:r>
          </w:p>
        </w:tc>
        <w:tc>
          <w:tcPr>
            <w:tcW w:type="dxa" w:w="12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4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1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Have any fatalities major injuries fires or regulatory notices occurred in the last three years</w:t>
            </w:r>
          </w:p>
        </w:tc>
        <w:tc>
          <w:tcPr>
            <w:tcW w:type="dxa" w:w="12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4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1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Are child labour forced labour discrimination and harassment expressly prohibited</w:t>
            </w:r>
          </w:p>
        </w:tc>
        <w:tc>
          <w:tcPr>
            <w:tcW w:type="dxa" w:w="12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4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1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Are wages hours social-security and contract-labour compliance periodically audited</w:t>
            </w:r>
          </w:p>
        </w:tc>
        <w:tc>
          <w:tcPr>
            <w:tcW w:type="dxa" w:w="12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4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1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Is there a worker grievance mechanism with non-retaliation protection</w:t>
            </w:r>
          </w:p>
        </w:tc>
        <w:tc>
          <w:tcPr>
            <w:tcW w:type="dxa" w:w="12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4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1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Are anti-bribery conflict-of-interest and whistleblowing controls in place</w:t>
            </w:r>
          </w:p>
        </w:tc>
        <w:tc>
          <w:tcPr>
            <w:tcW w:type="dxa" w:w="12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4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18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Are sub-tier suppliers screened for quality legal environmental and labour compliance</w:t>
            </w:r>
          </w:p>
        </w:tc>
        <w:tc>
          <w:tcPr>
            <w:tcW w:type="dxa" w:w="129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4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518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Can the supplier provide recycled-content and product carbon information if requested</w:t>
            </w:r>
          </w:p>
        </w:tc>
        <w:tc>
          <w:tcPr>
            <w:tcW w:type="dxa" w:w="129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4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bl>
    <w:p>
      <w:pPr>
        <w:spacing w:after="0"/>
        <w:widowControl/>
      </w:pPr>
    </w:p>
    <w:p>
      <w:pPr>
        <w:pStyle w:val="Heading2"/>
        <w:keepNext/>
        <w:widowControl/>
      </w:pPr>
      <w:r>
        <w:rPr>
          <w:color w:val="000000"/>
        </w:rPr>
        <w:t>A11 Business continuity and information security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68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Topic</w:t>
            </w:r>
          </w:p>
        </w:tc>
        <w:tc>
          <w:tcPr>
            <w:tcW w:type="dxa" w:w="525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7"/>
              </w:rPr>
              <w:t>Supplier response</w:t>
            </w:r>
          </w:p>
        </w:tc>
      </w:tr>
      <w:tr>
        <w:tc>
          <w:tcPr>
            <w:tcW w:type="dxa" w:w="46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Date of latest business-continuity test and major findings</w:t>
            </w:r>
          </w:p>
        </w:tc>
        <w:tc>
          <w:tcPr>
            <w:tcW w:type="dxa" w:w="52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Recovery time for bottleneck press tool and machining operation</w:t>
            </w:r>
          </w:p>
        </w:tc>
        <w:tc>
          <w:tcPr>
            <w:tcW w:type="dxa" w:w="52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Alternate site or equipment and qualification status</w:t>
            </w:r>
          </w:p>
        </w:tc>
        <w:tc>
          <w:tcPr>
            <w:tcW w:type="dxa" w:w="52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Critical sub-tier dependency and backup source</w:t>
            </w:r>
          </w:p>
        </w:tc>
        <w:tc>
          <w:tcPr>
            <w:tcW w:type="dxa" w:w="52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Cybersecurity controls for buyer drawings and data</w:t>
            </w:r>
          </w:p>
        </w:tc>
        <w:tc>
          <w:tcPr>
            <w:tcW w:type="dxa" w:w="52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8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Cyber or data incidents in last three years</w:t>
            </w:r>
          </w:p>
        </w:tc>
        <w:tc>
          <w:tcPr>
            <w:tcW w:type="dxa" w:w="525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r>
        <w:tc>
          <w:tcPr>
            <w:tcW w:type="dxa" w:w="468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7"/>
              </w:rPr>
              <w:t>Insurance types limits and validity</w:t>
            </w:r>
          </w:p>
        </w:tc>
        <w:tc>
          <w:tcPr>
            <w:tcW w:type="dxa" w:w="525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7"/>
              </w:rPr>
            </w:r>
          </w:p>
        </w:tc>
      </w:tr>
    </w:tbl>
    <w:p>
      <w:pPr>
        <w:spacing w:after="0"/>
        <w:widowControl/>
      </w:pPr>
    </w:p>
    <w:p>
      <w:pPr>
        <w:widowControl/>
      </w:pPr>
      <w:r>
        <w:br w:type="page"/>
      </w:r>
    </w:p>
    <w:p>
      <w:pPr>
        <w:pStyle w:val="Heading1"/>
        <w:keepNext/>
        <w:widowControl/>
      </w:pPr>
      <w:r>
        <w:rPr>
          <w:color w:val="000000"/>
        </w:rPr>
        <w:t>Annexure B Quotation and cost breakdown</w:t>
      </w:r>
    </w:p>
    <w:p>
      <w:pPr>
        <w:pStyle w:val="Heading2"/>
        <w:keepNext/>
        <w:widowControl/>
      </w:pPr>
      <w:r>
        <w:rPr>
          <w:color w:val="000000"/>
        </w:rPr>
        <w:t>B1 Unit price quotation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88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Cost element</w:t>
            </w:r>
          </w:p>
        </w:tc>
        <w:tc>
          <w:tcPr>
            <w:tcW w:type="dxa" w:w="180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INR per unit</w:t>
            </w:r>
          </w:p>
        </w:tc>
        <w:tc>
          <w:tcPr>
            <w:tcW w:type="dxa" w:w="424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Basis or assumption</w:t>
            </w:r>
          </w:p>
        </w:tc>
      </w:tr>
      <w:tr>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Steel input at quoted gross weight</w:t>
            </w:r>
          </w:p>
        </w:tc>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Scrap credit</w:t>
            </w:r>
          </w:p>
        </w:tc>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Net material cost</w:t>
            </w:r>
          </w:p>
        </w:tc>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Blanking or laser cutting</w:t>
            </w:r>
          </w:p>
        </w:tc>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Pressing and bending</w:t>
            </w:r>
          </w:p>
        </w:tc>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Machining roughing and finishing</w:t>
            </w:r>
          </w:p>
        </w:tc>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Deburring and cleaning</w:t>
            </w:r>
          </w:p>
        </w:tc>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Surface treatment</w:t>
            </w:r>
          </w:p>
        </w:tc>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Inspection and testing</w:t>
            </w:r>
          </w:p>
        </w:tc>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Packaging</w:t>
            </w:r>
          </w:p>
        </w:tc>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Freight to buyer plant</w:t>
            </w:r>
          </w:p>
        </w:tc>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Overheads</w:t>
            </w:r>
          </w:p>
        </w:tc>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Profit</w:t>
            </w:r>
          </w:p>
        </w:tc>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Delivered unit price before GST</w:t>
            </w:r>
          </w:p>
        </w:tc>
        <w:tc>
          <w:tcPr>
            <w:tcW w:type="dxa" w:w="180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GST rate</w:t>
            </w:r>
          </w:p>
        </w:tc>
        <w:tc>
          <w:tcPr>
            <w:tcW w:type="dxa" w:w="180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424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bl>
    <w:p>
      <w:pPr>
        <w:spacing w:after="0"/>
        <w:widowControl/>
      </w:pPr>
    </w:p>
    <w:p>
      <w:pPr>
        <w:pStyle w:val="Heading2"/>
        <w:keepNext/>
        <w:widowControl/>
      </w:pPr>
      <w:r>
        <w:rPr>
          <w:color w:val="000000"/>
        </w:rPr>
        <w:t>B2 Material and productivity assumptions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67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Input</w:t>
            </w:r>
          </w:p>
        </w:tc>
        <w:tc>
          <w:tcPr>
            <w:tcW w:type="dxa" w:w="237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Supplier value</w:t>
            </w:r>
          </w:p>
        </w:tc>
        <w:tc>
          <w:tcPr>
            <w:tcW w:type="dxa" w:w="388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Notes</w:t>
            </w:r>
          </w:p>
        </w:tc>
      </w:tr>
      <w:tr>
        <w:tc>
          <w:tcPr>
            <w:tcW w:type="dxa" w:w="367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Material grade and source</w:t>
            </w:r>
          </w:p>
        </w:tc>
        <w:tc>
          <w:tcPr>
            <w:tcW w:type="dxa" w:w="237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67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Material thickness</w:t>
            </w:r>
          </w:p>
        </w:tc>
        <w:tc>
          <w:tcPr>
            <w:tcW w:type="dxa" w:w="237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8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67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Gross input weight per part</w:t>
            </w:r>
          </w:p>
        </w:tc>
        <w:tc>
          <w:tcPr>
            <w:tcW w:type="dxa" w:w="237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67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Net finished weight per part</w:t>
            </w:r>
          </w:p>
        </w:tc>
        <w:tc>
          <w:tcPr>
            <w:tcW w:type="dxa" w:w="237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8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67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Material yield percentage</w:t>
            </w:r>
          </w:p>
        </w:tc>
        <w:tc>
          <w:tcPr>
            <w:tcW w:type="dxa" w:w="237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67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Scrap price assumed</w:t>
            </w:r>
          </w:p>
        </w:tc>
        <w:tc>
          <w:tcPr>
            <w:tcW w:type="dxa" w:w="237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8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67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Pressing cycle time</w:t>
            </w:r>
          </w:p>
        </w:tc>
        <w:tc>
          <w:tcPr>
            <w:tcW w:type="dxa" w:w="237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67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Machining cycle time</w:t>
            </w:r>
          </w:p>
        </w:tc>
        <w:tc>
          <w:tcPr>
            <w:tcW w:type="dxa" w:w="237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8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67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Labour and shift assumption</w:t>
            </w:r>
          </w:p>
        </w:tc>
        <w:tc>
          <w:tcPr>
            <w:tcW w:type="dxa" w:w="237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67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Quoted production batch</w:t>
            </w:r>
          </w:p>
        </w:tc>
        <w:tc>
          <w:tcPr>
            <w:tcW w:type="dxa" w:w="237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8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67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Energy assumption</w:t>
            </w:r>
          </w:p>
        </w:tc>
        <w:tc>
          <w:tcPr>
            <w:tcW w:type="dxa" w:w="237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8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bl>
    <w:p>
      <w:pPr>
        <w:spacing w:after="0"/>
        <w:widowControl/>
      </w:pPr>
    </w:p>
    <w:p>
      <w:pPr>
        <w:pStyle w:val="Heading2"/>
        <w:keepNext/>
        <w:widowControl/>
      </w:pPr>
      <w:r>
        <w:rPr>
          <w:color w:val="000000"/>
        </w:rPr>
        <w:t>B3 One-time costs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376"/>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Item</w:t>
            </w:r>
          </w:p>
        </w:tc>
        <w:tc>
          <w:tcPr>
            <w:tcW w:type="dxa" w:w="144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Amount INR</w:t>
            </w:r>
          </w:p>
        </w:tc>
        <w:tc>
          <w:tcPr>
            <w:tcW w:type="dxa" w:w="144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Lead time</w:t>
            </w:r>
          </w:p>
        </w:tc>
        <w:tc>
          <w:tcPr>
            <w:tcW w:type="dxa" w:w="208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Payment milestone</w:t>
            </w:r>
          </w:p>
        </w:tc>
        <w:tc>
          <w:tcPr>
            <w:tcW w:type="dxa" w:w="259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Ownership and useful life</w:t>
            </w:r>
          </w:p>
        </w:tc>
      </w:tr>
      <w:tr>
        <w:tc>
          <w:tcPr>
            <w:tcW w:type="dxa" w:w="237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Press tool or dies</w:t>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0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237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Machining fixtures</w:t>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0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5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237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Checking fixture and gauges</w:t>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0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237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Development and trials</w:t>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0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5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237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PPAP and validation</w:t>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0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2376"/>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Returnable packaging</w:t>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08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5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2376"/>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Other</w:t>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08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25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bl>
    <w:p>
      <w:pPr>
        <w:spacing w:after="0"/>
        <w:widowControl/>
      </w:pPr>
    </w:p>
    <w:p>
      <w:pPr>
        <w:pStyle w:val="Heading2"/>
        <w:keepNext/>
        <w:widowControl/>
      </w:pPr>
      <w:r>
        <w:rPr>
          <w:color w:val="000000"/>
        </w:rPr>
        <w:t>B4 Commercial summary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Field</w:t>
            </w:r>
          </w:p>
        </w:tc>
        <w:tc>
          <w:tcPr>
            <w:tcW w:type="dxa" w:w="676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Quoted delivered unit price before GST</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Total value for 10,000 units before GST</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Total one-time cost</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Quotation validity</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Payment terms accepted or deviation</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MOQ</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Price-break options</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Warranty offered</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Any foreign exchange exposure</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Any other commercial assumption</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bl>
    <w:p>
      <w:pPr>
        <w:spacing w:after="0"/>
        <w:widowControl/>
      </w:pPr>
    </w:p>
    <w:p>
      <w:pPr>
        <w:widowControl/>
      </w:pPr>
      <w:r>
        <w:br w:type="page"/>
      </w:r>
    </w:p>
    <w:p>
      <w:pPr>
        <w:pStyle w:val="Heading1"/>
        <w:keepNext/>
        <w:widowControl/>
      </w:pPr>
      <w:r>
        <w:rPr>
          <w:color w:val="000000"/>
        </w:rPr>
        <w:t>Annexure C Compliance matrix and declarations</w:t>
      </w:r>
    </w:p>
    <w:p>
      <w:pPr>
        <w:pStyle w:val="Heading2"/>
        <w:keepNext/>
        <w:widowControl/>
      </w:pPr>
      <w:r>
        <w:rPr>
          <w:color w:val="000000"/>
        </w:rPr>
        <w:t>C1 Requirement compliance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439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Requirement</w:t>
            </w:r>
          </w:p>
        </w:tc>
        <w:tc>
          <w:tcPr>
            <w:tcW w:type="dxa" w:w="100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Comply</w:t>
            </w:r>
          </w:p>
        </w:tc>
        <w:tc>
          <w:tcPr>
            <w:tcW w:type="dxa" w:w="100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Partial</w:t>
            </w:r>
          </w:p>
        </w:tc>
        <w:tc>
          <w:tcPr>
            <w:tcW w:type="dxa" w:w="100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Deviate</w:t>
            </w:r>
          </w:p>
        </w:tc>
        <w:tc>
          <w:tcPr>
            <w:tcW w:type="dxa" w:w="252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Explanation or reference</w:t>
            </w:r>
          </w:p>
        </w:tc>
      </w:tr>
      <w:tr>
        <w:tc>
          <w:tcPr>
            <w:tcW w:type="dxa" w:w="43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10,000 units over three months</w:t>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43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JIT delivery every three days</w:t>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43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Pressing bending and machining capability</w:t>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43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Roughing finishing and burr control</w:t>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43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Automotive or allied-industry experience</w:t>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43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PPAP Level 3 and automotive core tools</w:t>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43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Full material and lot traceability</w:t>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43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Run-at-rate and buyer audit</w:t>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43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60-day payment cycle</w:t>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43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Financial information and liquidity evidence</w:t>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43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ESG EHS labour and ethics requirements</w:t>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43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t>Business continuity and information security</w:t>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0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bl>
    <w:p>
      <w:pPr>
        <w:spacing w:after="0"/>
        <w:widowControl/>
      </w:pPr>
    </w:p>
    <w:p>
      <w:pPr>
        <w:pStyle w:val="Heading2"/>
        <w:keepNext/>
        <w:widowControl/>
      </w:pPr>
      <w:r>
        <w:rPr>
          <w:color w:val="000000"/>
        </w:rPr>
        <w:t>C2 Deviation schedule</w:t>
      </w:r>
    </w:p>
    <w:p>
      <w:pPr>
        <w:pStyle w:val="BodyText"/>
        <w:widowControl/>
      </w:pPr>
      <w:r>
        <w:t>List every technical, commercial, timing, quality, logistics, legal or other deviation. If this schedule is blank, the supplier is deemed to have quoted without deviation, subject to final contract.</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122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RFQ section</w:t>
            </w:r>
          </w:p>
        </w:tc>
        <w:tc>
          <w:tcPr>
            <w:tcW w:type="dxa" w:w="223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Requirement</w:t>
            </w:r>
          </w:p>
        </w:tc>
        <w:tc>
          <w:tcPr>
            <w:tcW w:type="dxa" w:w="252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Supplier deviation</w:t>
            </w:r>
          </w:p>
        </w:tc>
        <w:tc>
          <w:tcPr>
            <w:tcW w:type="dxa" w:w="172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Reason</w:t>
            </w:r>
          </w:p>
        </w:tc>
        <w:tc>
          <w:tcPr>
            <w:tcW w:type="dxa" w:w="223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5"/>
              </w:rPr>
              <w:t>Proposed alternative</w:t>
            </w:r>
          </w:p>
        </w:tc>
      </w:tr>
      <w:tr>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23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r>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5"/>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52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c>
          <w:tcPr>
            <w:tcW w:type="dxa" w:w="223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5"/>
              </w:rPr>
            </w:r>
          </w:p>
        </w:tc>
      </w:tr>
    </w:tbl>
    <w:p>
      <w:pPr>
        <w:spacing w:after="0"/>
        <w:widowControl/>
      </w:pPr>
    </w:p>
    <w:p>
      <w:pPr>
        <w:pStyle w:val="Heading2"/>
        <w:keepNext/>
        <w:widowControl/>
      </w:pPr>
      <w:r>
        <w:rPr>
          <w:color w:val="000000"/>
        </w:rPr>
        <w:t>C3 Supplier declaration</w:t>
      </w:r>
    </w:p>
    <w:p>
      <w:pPr>
        <w:pStyle w:val="BodyText"/>
        <w:widowControl/>
      </w:pPr>
      <w:r>
        <w:t>We confirm that the information submitted is complete and accurate to the best of our knowledge; that we have disclosed all material assumptions and deviations; that we have assessed the technical feasibility, capacity, quality, financial and delivery requirements; and that our quotation remains valid for the stated period. We understand that this RFQ does not create an obligation on VoltEdge Mobility Components Private Limited to place an order or award business.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Field</w:t>
            </w:r>
          </w:p>
        </w:tc>
        <w:tc>
          <w:tcPr>
            <w:tcW w:type="dxa" w:w="676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8"/>
              </w:rPr>
              <w:t>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Authorized signatory name</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Designation</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Company</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Signature</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Date</w:t>
            </w:r>
          </w:p>
        </w:tc>
        <w:tc>
          <w:tcPr>
            <w:tcW w:type="dxa" w:w="676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r>
        <w:tc>
          <w:tcPr>
            <w:tcW w:type="dxa" w:w="31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8"/>
              </w:rPr>
              <w:t>Company seal</w:t>
            </w:r>
          </w:p>
        </w:tc>
        <w:tc>
          <w:tcPr>
            <w:tcW w:type="dxa" w:w="676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8"/>
              </w:rPr>
              <w:t>Supplier response</w:t>
            </w:r>
          </w:p>
        </w:tc>
      </w:tr>
    </w:tbl>
    <w:p>
      <w:pPr>
        <w:spacing w:after="0"/>
        <w:widowControl/>
      </w:pPr>
    </w:p>
    <w:p>
      <w:pPr>
        <w:widowControl/>
      </w:pPr>
      <w:r>
        <w:br w:type="page"/>
      </w:r>
    </w:p>
    <w:p>
      <w:pPr>
        <w:pStyle w:val="Heading1"/>
        <w:keepNext/>
        <w:widowControl/>
      </w:pPr>
      <w:r>
        <w:rPr>
          <w:color w:val="000000"/>
        </w:rPr>
        <w:t>Annexure D Bid submission checklist</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79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No</w:t>
            </w:r>
          </w:p>
        </w:tc>
        <w:tc>
          <w:tcPr>
            <w:tcW w:type="dxa" w:w="640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Submission item</w:t>
            </w:r>
          </w:p>
        </w:tc>
        <w:tc>
          <w:tcPr>
            <w:tcW w:type="dxa" w:w="122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Attached</w:t>
            </w:r>
          </w:p>
        </w:tc>
        <w:tc>
          <w:tcPr>
            <w:tcW w:type="dxa" w:w="1512"/>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Document reference</w:t>
            </w:r>
          </w:p>
        </w:tc>
      </w:tr>
      <w:tr>
        <w:tc>
          <w:tcPr>
            <w:tcW w:type="dxa" w:w="7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1</w:t>
            </w:r>
          </w:p>
        </w:tc>
        <w:tc>
          <w:tcPr>
            <w:tcW w:type="dxa" w:w="64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Signed RFQ cover and supplier declaration</w:t>
            </w:r>
          </w:p>
        </w:tc>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2</w:t>
            </w:r>
          </w:p>
        </w:tc>
        <w:tc>
          <w:tcPr>
            <w:tcW w:type="dxa" w:w="64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Completed technical compliance and deviation schedules</w:t>
            </w:r>
          </w:p>
        </w:tc>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3</w:t>
            </w:r>
          </w:p>
        </w:tc>
        <w:tc>
          <w:tcPr>
            <w:tcW w:type="dxa" w:w="64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Detailed process flow and feasibility review</w:t>
            </w:r>
          </w:p>
        </w:tc>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4</w:t>
            </w:r>
          </w:p>
        </w:tc>
        <w:tc>
          <w:tcPr>
            <w:tcW w:type="dxa" w:w="64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Equipment list and plant layout relevant to proposed line</w:t>
            </w:r>
          </w:p>
        </w:tc>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5</w:t>
            </w:r>
          </w:p>
        </w:tc>
        <w:tc>
          <w:tcPr>
            <w:tcW w:type="dxa" w:w="64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Tooling concept timing and cost</w:t>
            </w:r>
          </w:p>
        </w:tc>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6</w:t>
            </w:r>
          </w:p>
        </w:tc>
        <w:tc>
          <w:tcPr>
            <w:tcW w:type="dxa" w:w="64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Capacity calculation and JIT logistics plan</w:t>
            </w:r>
          </w:p>
        </w:tc>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7</w:t>
            </w:r>
          </w:p>
        </w:tc>
        <w:tc>
          <w:tcPr>
            <w:tcW w:type="dxa" w:w="64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ISO and IATF certificates as applicable</w:t>
            </w:r>
          </w:p>
        </w:tc>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8</w:t>
            </w:r>
          </w:p>
        </w:tc>
        <w:tc>
          <w:tcPr>
            <w:tcW w:type="dxa" w:w="64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Latest customer quality and delivery performance</w:t>
            </w:r>
          </w:p>
        </w:tc>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9</w:t>
            </w:r>
          </w:p>
        </w:tc>
        <w:tc>
          <w:tcPr>
            <w:tcW w:type="dxa" w:w="64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Sample PFMEA control plan and MSA evidence from comparable part</w:t>
            </w:r>
          </w:p>
        </w:tc>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10</w:t>
            </w:r>
          </w:p>
        </w:tc>
        <w:tc>
          <w:tcPr>
            <w:tcW w:type="dxa" w:w="64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Audited financial statements for three years</w:t>
            </w:r>
          </w:p>
        </w:tc>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11</w:t>
            </w:r>
          </w:p>
        </w:tc>
        <w:tc>
          <w:tcPr>
            <w:tcW w:type="dxa" w:w="64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Latest provisional financials and working-capital evidence</w:t>
            </w:r>
          </w:p>
        </w:tc>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12</w:t>
            </w:r>
          </w:p>
        </w:tc>
        <w:tc>
          <w:tcPr>
            <w:tcW w:type="dxa" w:w="64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Organization chart and programme team</w:t>
            </w:r>
          </w:p>
        </w:tc>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13</w:t>
            </w:r>
          </w:p>
        </w:tc>
        <w:tc>
          <w:tcPr>
            <w:tcW w:type="dxa" w:w="64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Automotive customer references</w:t>
            </w:r>
          </w:p>
        </w:tc>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14</w:t>
            </w:r>
          </w:p>
        </w:tc>
        <w:tc>
          <w:tcPr>
            <w:tcW w:type="dxa" w:w="64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ESG EHS and ethics questionnaire with evidence</w:t>
            </w:r>
          </w:p>
        </w:tc>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15</w:t>
            </w:r>
          </w:p>
        </w:tc>
        <w:tc>
          <w:tcPr>
            <w:tcW w:type="dxa" w:w="64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Business-continuity plan summary</w:t>
            </w:r>
          </w:p>
        </w:tc>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16</w:t>
            </w:r>
          </w:p>
        </w:tc>
        <w:tc>
          <w:tcPr>
            <w:tcW w:type="dxa" w:w="64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Unit price cost breakdown and one-time costs</w:t>
            </w:r>
          </w:p>
        </w:tc>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17</w:t>
            </w:r>
          </w:p>
        </w:tc>
        <w:tc>
          <w:tcPr>
            <w:tcW w:type="dxa" w:w="640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Quotation validity payment terms and tax details</w:t>
            </w:r>
          </w:p>
        </w:tc>
        <w:tc>
          <w:tcPr>
            <w:tcW w:type="dxa" w:w="12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79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18</w:t>
            </w:r>
          </w:p>
        </w:tc>
        <w:tc>
          <w:tcPr>
            <w:tcW w:type="dxa" w:w="640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All subcontractors and special-process sources disclosed</w:t>
            </w:r>
          </w:p>
        </w:tc>
        <w:tc>
          <w:tcPr>
            <w:tcW w:type="dxa" w:w="12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t>Yes or No</w:t>
            </w:r>
          </w:p>
        </w:tc>
        <w:tc>
          <w:tcPr>
            <w:tcW w:type="dxa" w:w="1512"/>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bl>
    <w:p>
      <w:pPr>
        <w:spacing w:after="0"/>
        <w:widowControl/>
      </w:pPr>
    </w:p>
    <w:p>
      <w:pPr>
        <w:pStyle w:val="Heading2"/>
        <w:keepNext/>
        <w:widowControl/>
      </w:pPr>
      <w:r>
        <w:rPr>
          <w:color w:val="000000"/>
        </w:rPr>
        <w:t>Buyer use only</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02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Review area</w:t>
            </w:r>
          </w:p>
        </w:tc>
        <w:tc>
          <w:tcPr>
            <w:tcW w:type="dxa" w:w="1728"/>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Reviewer</w:t>
            </w:r>
          </w:p>
        </w:tc>
        <w:tc>
          <w:tcPr>
            <w:tcW w:type="dxa" w:w="1440"/>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Status</w:t>
            </w:r>
          </w:p>
        </w:tc>
        <w:tc>
          <w:tcPr>
            <w:tcW w:type="dxa" w:w="3744"/>
            <w:shd w:fill="17365D"/>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jc w:val="center"/>
            </w:pPr>
            <w:r>
              <w:rPr>
                <w:b/>
                <w:color w:val="FFFFFF"/>
                <w:sz w:val="16"/>
              </w:rPr>
              <w:t>Comments or actions</w:t>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Technical and manufacturing</w:t>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7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Quality</w:t>
            </w:r>
          </w:p>
        </w:tc>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7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Capacity and logistics</w:t>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7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Commercial</w:t>
            </w:r>
          </w:p>
        </w:tc>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7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Financial risk</w:t>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7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ESG EHS and compliance</w:t>
            </w:r>
          </w:p>
        </w:tc>
        <w:tc>
          <w:tcPr>
            <w:tcW w:type="dxa" w:w="1728"/>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744"/>
            <w:shd w:fill="F7F9FB"/>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r>
        <w:tc>
          <w:tcPr>
            <w:tcW w:type="dxa" w:w="302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center"/>
            </w:pPr>
            <w:r>
              <w:rPr>
                <w:sz w:val="16"/>
              </w:rPr>
              <w:t>Final sourcing recommendation</w:t>
            </w:r>
          </w:p>
        </w:tc>
        <w:tc>
          <w:tcPr>
            <w:tcW w:type="dxa" w:w="1728"/>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1440"/>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c>
          <w:tcPr>
            <w:tcW w:type="dxa" w:w="3744"/>
            <w:shd w:fill="FFFFFF"/>
            <w:tcMar>
              <w:top w:w="100" w:type="dxa"/>
              <w:start w:w="120" w:type="dxa"/>
              <w:bottom w:w="100" w:type="dxa"/>
              <w:end w:w="12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jc w:val="left"/>
            </w:pPr>
            <w:r>
              <w:rPr>
                <w:sz w:val="16"/>
              </w:rPr>
            </w:r>
          </w:p>
        </w:tc>
      </w:tr>
    </w:tbl>
    <w:p>
      <w:pPr>
        <w:spacing w:after="0"/>
        <w:widowControl/>
      </w:pP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RFQ VEMC SCM 2026 041   |   Page </w:t>
    </w:r>
    <w:r>
      <w:fldChar w:fldCharType="begin"/>
      <w:instrText xml:space="preserve">PAGE</w:instrText>
      <w:fldChar w:fldCharType="end"/>
    </w:r>
    <w: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0000"/>
        <w:sz w:val="16"/>
      </w:rPr>
      <w:t>VOLT​EDGE MOBILITY COMPONENTS PRIVATE LIMITED  |  CONFIDENTIAL RFQ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sz w:val="21"/>
    </w:rPr>
  </w:style>
  <w:style w:type="paragraph" w:styleId="ListBullet2">
    <w:name w:val="List Bullet 2"/>
    <w:basedOn w:val="Normal"/>
    <w:uiPriority w:val="99"/>
    <w:unhideWhenUsed/>
    <w:rsid w:val="00326F90"/>
    <w:pPr>
      <w:numPr>
        <w:numId w:val="2"/>
      </w:numPr>
      <w:spacing w:after="40"/>
      <w:contextualSpacing/>
    </w:pPr>
    <w:rP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Quotation Steel Mounting Bracket for Electric Vehicle Application</dc:title>
  <dc:subject>Supplier RFQ for sheet metal pressing bending machining and JIT delivery</dc:subject>
  <dc:creator>VoltEdge Mobility Components Private Limited</dc:creator>
  <cp:keywords>RFQ, EV, sheet metal, steel bracket, automotive, JIT, supplier qualification</cp:keywords>
  <dc:description>generated by python-docx</dc:description>
  <cp:lastModifiedBy/>
  <cp:revision>1</cp:revision>
  <dcterms:created xsi:type="dcterms:W3CDTF">2013-12-23T23:15:00Z</dcterms:created>
  <dcterms:modified xsi:type="dcterms:W3CDTF">2013-12-23T23:15:00Z</dcterms:modified>
  <cp:category/>
</cp:coreProperties>
</file>