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2449A" w14:textId="77777777" w:rsidR="00892644" w:rsidRPr="00892644" w:rsidRDefault="00892644" w:rsidP="00892644">
      <w:pPr>
        <w:jc w:val="center"/>
        <w:rPr>
          <w:b/>
          <w:bCs/>
          <w:color w:val="EE0000"/>
          <w:sz w:val="32"/>
          <w:szCs w:val="32"/>
        </w:rPr>
      </w:pPr>
      <w:r w:rsidRPr="00892644">
        <w:rPr>
          <w:b/>
          <w:bCs/>
          <w:color w:val="EE0000"/>
          <w:sz w:val="32"/>
          <w:szCs w:val="32"/>
        </w:rPr>
        <w:t>Business Problem Statement</w:t>
      </w:r>
    </w:p>
    <w:p w14:paraId="5FCE9F29" w14:textId="77777777" w:rsidR="00892644" w:rsidRPr="00892644" w:rsidRDefault="00892644" w:rsidP="00892644">
      <w:pPr>
        <w:rPr>
          <w:b/>
          <w:bCs/>
          <w:sz w:val="24"/>
          <w:szCs w:val="24"/>
        </w:rPr>
      </w:pPr>
      <w:r w:rsidRPr="00892644">
        <w:rPr>
          <w:b/>
          <w:bCs/>
          <w:sz w:val="24"/>
          <w:szCs w:val="24"/>
        </w:rPr>
        <w:t>1. Executive Summary</w:t>
      </w:r>
    </w:p>
    <w:p w14:paraId="14BCD239" w14:textId="77777777" w:rsidR="00892644" w:rsidRPr="00892644" w:rsidRDefault="00892644" w:rsidP="00892644">
      <w:pPr>
        <w:rPr>
          <w:sz w:val="24"/>
          <w:szCs w:val="24"/>
        </w:rPr>
      </w:pPr>
      <w:r w:rsidRPr="00892644">
        <w:rPr>
          <w:sz w:val="24"/>
          <w:szCs w:val="24"/>
        </w:rPr>
        <w:t>The retail pharmacy branch network is experiencing a significant operational bottleneck regarding working capital optimization and inventory management. While gross revenue shows a steady month-on-month trajectory across major metropolitan hubs (such as Pune and Mumbai), profitability margins are at risk due to a highly skewed demand profile. A massive portion of overall cash flow is tied up in two primary drug categories—</w:t>
      </w:r>
      <w:r w:rsidRPr="00892644">
        <w:rPr>
          <w:b/>
          <w:bCs/>
          <w:sz w:val="24"/>
          <w:szCs w:val="24"/>
        </w:rPr>
        <w:t>Antibiotics</w:t>
      </w:r>
      <w:r w:rsidRPr="00892644">
        <w:rPr>
          <w:sz w:val="24"/>
          <w:szCs w:val="24"/>
        </w:rPr>
        <w:t xml:space="preserve"> and </w:t>
      </w:r>
      <w:r w:rsidRPr="00892644">
        <w:rPr>
          <w:b/>
          <w:bCs/>
          <w:sz w:val="24"/>
          <w:szCs w:val="24"/>
        </w:rPr>
        <w:t>Painkillers</w:t>
      </w:r>
      <w:r w:rsidRPr="00892644">
        <w:rPr>
          <w:sz w:val="24"/>
          <w:szCs w:val="24"/>
        </w:rPr>
        <w:t>—leaving the pharmacy vulnerable to supply chain shocks, expiration write-offs, and stockouts of critical chronic medication lines (e.g., Cardiac and Diabetes management).</w:t>
      </w:r>
    </w:p>
    <w:p w14:paraId="2AD97E85" w14:textId="77777777" w:rsidR="00892644" w:rsidRPr="00892644" w:rsidRDefault="00892644" w:rsidP="00892644">
      <w:pPr>
        <w:rPr>
          <w:b/>
          <w:bCs/>
          <w:sz w:val="24"/>
          <w:szCs w:val="24"/>
        </w:rPr>
      </w:pPr>
      <w:r w:rsidRPr="00892644">
        <w:rPr>
          <w:b/>
          <w:bCs/>
          <w:sz w:val="24"/>
          <w:szCs w:val="24"/>
        </w:rPr>
        <w:t>2. Core Problem Drivers</w:t>
      </w:r>
    </w:p>
    <w:p w14:paraId="74D7756D" w14:textId="77777777" w:rsidR="00892644" w:rsidRPr="00892644" w:rsidRDefault="00892644" w:rsidP="00892644">
      <w:pPr>
        <w:numPr>
          <w:ilvl w:val="0"/>
          <w:numId w:val="1"/>
        </w:numPr>
        <w:rPr>
          <w:sz w:val="24"/>
          <w:szCs w:val="24"/>
        </w:rPr>
      </w:pPr>
      <w:r w:rsidRPr="00892644">
        <w:rPr>
          <w:b/>
          <w:bCs/>
          <w:sz w:val="24"/>
          <w:szCs w:val="24"/>
        </w:rPr>
        <w:t>Asymmetrical Product Vulnerability:</w:t>
      </w:r>
      <w:r w:rsidRPr="00892644">
        <w:rPr>
          <w:sz w:val="24"/>
          <w:szCs w:val="24"/>
        </w:rPr>
        <w:t xml:space="preserve"> Over 40% of the aggregate sales volume ($2.64\text{M}$ out of $6.56\text{M}$) is concentrated heavily within acute therapeutic categories (Antibiotics and Painkillers).</w:t>
      </w:r>
    </w:p>
    <w:p w14:paraId="08C0D0E2" w14:textId="77777777" w:rsidR="00892644" w:rsidRPr="00892644" w:rsidRDefault="00892644" w:rsidP="00892644">
      <w:pPr>
        <w:numPr>
          <w:ilvl w:val="0"/>
          <w:numId w:val="1"/>
        </w:numPr>
        <w:rPr>
          <w:sz w:val="24"/>
          <w:szCs w:val="24"/>
        </w:rPr>
      </w:pPr>
      <w:r w:rsidRPr="00892644">
        <w:rPr>
          <w:b/>
          <w:bCs/>
          <w:sz w:val="24"/>
          <w:szCs w:val="24"/>
        </w:rPr>
        <w:t>The Chronological Blindspot:</w:t>
      </w:r>
      <w:r w:rsidRPr="00892644">
        <w:rPr>
          <w:sz w:val="24"/>
          <w:szCs w:val="24"/>
        </w:rPr>
        <w:t xml:space="preserve"> Initial operational audits misread standard sales volume metrics by improperly sorting monthly historical trend indicators. This obfuscated actual seasonal demand spikes and consumer adoption patterns, preventing accurate predictive inventory provisioning.</w:t>
      </w:r>
    </w:p>
    <w:p w14:paraId="681A325C" w14:textId="77777777" w:rsidR="00892644" w:rsidRPr="00892644" w:rsidRDefault="00892644" w:rsidP="00892644">
      <w:pPr>
        <w:numPr>
          <w:ilvl w:val="0"/>
          <w:numId w:val="1"/>
        </w:numPr>
        <w:rPr>
          <w:sz w:val="24"/>
          <w:szCs w:val="24"/>
        </w:rPr>
      </w:pPr>
      <w:r w:rsidRPr="00892644">
        <w:rPr>
          <w:b/>
          <w:bCs/>
          <w:sz w:val="24"/>
          <w:szCs w:val="24"/>
        </w:rPr>
        <w:t>Underutilized Patient Demographics:</w:t>
      </w:r>
      <w:r w:rsidRPr="00892644">
        <w:rPr>
          <w:sz w:val="24"/>
          <w:szCs w:val="24"/>
        </w:rPr>
        <w:t xml:space="preserve"> Demographic insights show near-parity between Male and Female purchasers ($3.3\text{M}$ vs. $3.2\text{M}$) and uniform distributions across Age Groups (Child, Adult, Senior). However, current procurement cycles fail to leverage these segments to optimize regional stock allocation (e.g., tailoring higher chronic cardiac stock to senior-dense areas).</w:t>
      </w:r>
    </w:p>
    <w:p w14:paraId="500ADF78" w14:textId="77777777" w:rsidR="00892644" w:rsidRPr="00892644" w:rsidRDefault="00892644" w:rsidP="00892644">
      <w:pPr>
        <w:numPr>
          <w:ilvl w:val="0"/>
          <w:numId w:val="1"/>
        </w:numPr>
        <w:rPr>
          <w:sz w:val="24"/>
          <w:szCs w:val="24"/>
        </w:rPr>
      </w:pPr>
      <w:r w:rsidRPr="00892644">
        <w:rPr>
          <w:b/>
          <w:bCs/>
          <w:sz w:val="24"/>
          <w:szCs w:val="24"/>
        </w:rPr>
        <w:t>Payment Architecture Overhead:</w:t>
      </w:r>
      <w:r w:rsidRPr="00892644">
        <w:rPr>
          <w:sz w:val="24"/>
          <w:szCs w:val="24"/>
        </w:rPr>
        <w:t xml:space="preserve"> A significant shift toward digital payments (UPI) introduces transactional tracking opportunities that are currently isolated from inventory tracking software, resulting in disjointed demand-forecasting data pipelines.</w:t>
      </w:r>
    </w:p>
    <w:p w14:paraId="4C2BD596" w14:textId="77777777" w:rsidR="00892644" w:rsidRPr="00892644" w:rsidRDefault="00892644" w:rsidP="00892644">
      <w:pPr>
        <w:rPr>
          <w:b/>
          <w:bCs/>
          <w:sz w:val="24"/>
          <w:szCs w:val="24"/>
        </w:rPr>
      </w:pPr>
      <w:r w:rsidRPr="00892644">
        <w:rPr>
          <w:b/>
          <w:bCs/>
          <w:sz w:val="24"/>
          <w:szCs w:val="24"/>
        </w:rPr>
        <w:t>3. Business Impact Statement</w:t>
      </w:r>
    </w:p>
    <w:p w14:paraId="48ADB0E9" w14:textId="77777777" w:rsidR="00892644" w:rsidRPr="00892644" w:rsidRDefault="00892644" w:rsidP="00892644">
      <w:pPr>
        <w:rPr>
          <w:sz w:val="24"/>
          <w:szCs w:val="24"/>
        </w:rPr>
      </w:pPr>
      <w:r w:rsidRPr="00892644">
        <w:rPr>
          <w:sz w:val="24"/>
          <w:szCs w:val="24"/>
        </w:rPr>
        <w:t xml:space="preserve">Failure to realign procurement schedules with true chronological demand and demographic profiles will result in an estimated </w:t>
      </w:r>
      <w:r w:rsidRPr="00892644">
        <w:rPr>
          <w:b/>
          <w:bCs/>
          <w:sz w:val="24"/>
          <w:szCs w:val="24"/>
        </w:rPr>
        <w:t>12–15% increase in inventory holding costs</w:t>
      </w:r>
      <w:r w:rsidRPr="00892644">
        <w:rPr>
          <w:sz w:val="24"/>
          <w:szCs w:val="24"/>
        </w:rPr>
        <w:t xml:space="preserve"> due to overstocking non-moving items, combined with missed revenue opportunities from stockouts of high-margin chronic maintenance medications.</w:t>
      </w:r>
    </w:p>
    <w:p w14:paraId="257D2CC3" w14:textId="77777777" w:rsidR="00030055" w:rsidRPr="00892644" w:rsidRDefault="00030055">
      <w:pPr>
        <w:rPr>
          <w:sz w:val="24"/>
          <w:szCs w:val="24"/>
        </w:rPr>
      </w:pPr>
    </w:p>
    <w:sectPr w:rsidR="00030055" w:rsidRPr="00892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4768E"/>
    <w:multiLevelType w:val="multilevel"/>
    <w:tmpl w:val="D31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71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44"/>
    <w:rsid w:val="00030055"/>
    <w:rsid w:val="0032555D"/>
    <w:rsid w:val="00892644"/>
    <w:rsid w:val="008930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013AC"/>
  <w15:chartTrackingRefBased/>
  <w15:docId w15:val="{00C609BF-A7D6-4D56-8DEB-044B2D569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6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6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6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6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6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6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6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644"/>
    <w:rPr>
      <w:rFonts w:eastAsiaTheme="majorEastAsia" w:cstheme="majorBidi"/>
      <w:color w:val="272727" w:themeColor="text1" w:themeTint="D8"/>
    </w:rPr>
  </w:style>
  <w:style w:type="paragraph" w:styleId="Title">
    <w:name w:val="Title"/>
    <w:basedOn w:val="Normal"/>
    <w:next w:val="Normal"/>
    <w:link w:val="TitleChar"/>
    <w:uiPriority w:val="10"/>
    <w:qFormat/>
    <w:rsid w:val="00892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644"/>
    <w:pPr>
      <w:spacing w:before="160"/>
      <w:jc w:val="center"/>
    </w:pPr>
    <w:rPr>
      <w:i/>
      <w:iCs/>
      <w:color w:val="404040" w:themeColor="text1" w:themeTint="BF"/>
    </w:rPr>
  </w:style>
  <w:style w:type="character" w:customStyle="1" w:styleId="QuoteChar">
    <w:name w:val="Quote Char"/>
    <w:basedOn w:val="DefaultParagraphFont"/>
    <w:link w:val="Quote"/>
    <w:uiPriority w:val="29"/>
    <w:rsid w:val="00892644"/>
    <w:rPr>
      <w:i/>
      <w:iCs/>
      <w:color w:val="404040" w:themeColor="text1" w:themeTint="BF"/>
    </w:rPr>
  </w:style>
  <w:style w:type="paragraph" w:styleId="ListParagraph">
    <w:name w:val="List Paragraph"/>
    <w:basedOn w:val="Normal"/>
    <w:uiPriority w:val="34"/>
    <w:qFormat/>
    <w:rsid w:val="00892644"/>
    <w:pPr>
      <w:ind w:left="720"/>
      <w:contextualSpacing/>
    </w:pPr>
  </w:style>
  <w:style w:type="character" w:styleId="IntenseEmphasis">
    <w:name w:val="Intense Emphasis"/>
    <w:basedOn w:val="DefaultParagraphFont"/>
    <w:uiPriority w:val="21"/>
    <w:qFormat/>
    <w:rsid w:val="00892644"/>
    <w:rPr>
      <w:i/>
      <w:iCs/>
      <w:color w:val="2F5496" w:themeColor="accent1" w:themeShade="BF"/>
    </w:rPr>
  </w:style>
  <w:style w:type="paragraph" w:styleId="IntenseQuote">
    <w:name w:val="Intense Quote"/>
    <w:basedOn w:val="Normal"/>
    <w:next w:val="Normal"/>
    <w:link w:val="IntenseQuoteChar"/>
    <w:uiPriority w:val="30"/>
    <w:qFormat/>
    <w:rsid w:val="008926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644"/>
    <w:rPr>
      <w:i/>
      <w:iCs/>
      <w:color w:val="2F5496" w:themeColor="accent1" w:themeShade="BF"/>
    </w:rPr>
  </w:style>
  <w:style w:type="character" w:styleId="IntenseReference">
    <w:name w:val="Intense Reference"/>
    <w:basedOn w:val="DefaultParagraphFont"/>
    <w:uiPriority w:val="32"/>
    <w:qFormat/>
    <w:rsid w:val="00892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Deshmukh</dc:creator>
  <cp:keywords/>
  <dc:description/>
  <cp:lastModifiedBy>Rutuja Deshmukh</cp:lastModifiedBy>
  <cp:revision>1</cp:revision>
  <dcterms:created xsi:type="dcterms:W3CDTF">2026-06-26T08:55:00Z</dcterms:created>
  <dcterms:modified xsi:type="dcterms:W3CDTF">2026-06-26T08:56:00Z</dcterms:modified>
</cp:coreProperties>
</file>