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1B365D"/>
          <w:sz w:val="40"/>
        </w:rPr>
        <w:t>Data-Driven Pharmacy Operations &amp; Supply Chain Optimization</w:t>
      </w:r>
    </w:p>
    <w:p>
      <w:pPr>
        <w:spacing w:after="360"/>
      </w:pPr>
      <w:r>
        <w:rPr>
          <w:i/>
          <w:color w:val="5C768D"/>
          <w:sz w:val="26"/>
        </w:rPr>
        <w:t>A Multi-Regional Demographics and Chronological Demand Analysis</w:t>
      </w:r>
    </w:p>
    <w:p>
      <w:pPr>
        <w:spacing w:after="360" w:line="312" w:lineRule="auto"/>
      </w:pPr>
      <w:r>
        <w:rPr>
          <w:b/>
          <w:sz w:val="20"/>
        </w:rPr>
        <w:t xml:space="preserve">Project Type: </w:t>
      </w:r>
      <w:r>
        <w:rPr>
          <w:sz w:val="20"/>
        </w:rPr>
        <w:t>End-to-End Analytics &amp; Data Engineering</w:t>
        <w:br/>
      </w:r>
      <w:r>
        <w:rPr>
          <w:b/>
          <w:sz w:val="20"/>
        </w:rPr>
        <w:t xml:space="preserve">Architecture Stack: </w:t>
      </w:r>
      <w:r>
        <w:rPr>
          <w:sz w:val="20"/>
        </w:rPr>
        <w:t>Excel → Python (Jupyter) → PostgreSQL → Power BI</w:t>
        <w:br/>
      </w:r>
      <w:r>
        <w:rPr>
          <w:b/>
          <w:sz w:val="20"/>
        </w:rPr>
        <w:t xml:space="preserve">Data Scale: </w:t>
      </w:r>
      <w:r>
        <w:rPr>
          <w:sz w:val="20"/>
        </w:rPr>
        <w:t>N = 5,000 Invoices</w:t>
        <w:br/>
      </w:r>
      <w:r>
        <w:rPr>
          <w:b/>
          <w:sz w:val="20"/>
        </w:rPr>
        <w:t xml:space="preserve">Aggregate Gross Revenue: </w:t>
      </w:r>
      <w:r>
        <w:rPr>
          <w:sz w:val="20"/>
        </w:rPr>
        <w:t>$6.56M</w:t>
        <w:br/>
      </w:r>
    </w:p>
    <w:p>
      <w:pPr>
        <w:keepNext/>
        <w:spacing w:before="320" w:after="120"/>
      </w:pPr>
      <w:r>
        <w:rPr>
          <w:b/>
          <w:color w:val="1B365D"/>
          <w:sz w:val="28"/>
        </w:rPr>
        <w:t>1. Executive Summary</w:t>
      </w:r>
    </w:p>
    <w:p>
      <w:pPr>
        <w:spacing w:after="160" w:line="276" w:lineRule="auto"/>
      </w:pPr>
      <w:r>
        <w:t>This project report demonstrates a robust data engineering and business intelligence lifecycle designed to audit and optimize operations across a multi-city pharmacy retail network (Pune, Mumbai, Nashik, and Bangalore). By moving data from legacy spreadsheets through an automated Python validation layer into an enterprise PostgreSQL relational database, we eradicated structural data silos and reporting anomalies. The final deployment inside Power BI delivers live decision-grade visibility, transforming raw transactional records into high-velocity supply chain insights.</w:t>
      </w:r>
    </w:p>
    <w:p>
      <w:pPr>
        <w:keepNext/>
        <w:spacing w:before="320" w:after="120"/>
      </w:pPr>
      <w:r>
        <w:rPr>
          <w:b/>
          <w:color w:val="1B365D"/>
          <w:sz w:val="28"/>
        </w:rPr>
        <w:t>2. Technical Architecture &amp; Pipeline</w:t>
      </w:r>
    </w:p>
    <w:p>
      <w:pPr>
        <w:spacing w:after="160" w:line="276" w:lineRule="auto"/>
      </w:pPr>
      <w:r>
        <w:t>The core infrastructure is architected in four distinct operational isolation layers to maximize stability, performance, and analytical integrity:</w:t>
      </w:r>
    </w:p>
    <w:p>
      <w:pPr>
        <w:pStyle w:val="ListBullet"/>
        <w:spacing w:after="80" w:line="276" w:lineRule="auto"/>
      </w:pPr>
      <w:r>
        <w:t>Data Extraction Layer: Legacy tracking arrays containing 5,000 unique relational entries were imported from flat files into a Python scientific data ecosystem.</w:t>
      </w:r>
    </w:p>
    <w:p>
      <w:pPr>
        <w:pStyle w:val="ListBullet"/>
        <w:spacing w:after="80" w:line="276" w:lineRule="auto"/>
      </w:pPr>
      <w:r>
        <w:t>Transformation &amp; ETL Layer (Jupyter Notebook): Built a data cleansing script via Python pandas. Enforced accurate datetime64 formatting, resolved missing cells, eliminated indexing artifacts, and resolved a critical chronological trend bug.</w:t>
      </w:r>
    </w:p>
    <w:p>
      <w:pPr>
        <w:pStyle w:val="ListBullet"/>
        <w:spacing w:after="80" w:line="276" w:lineRule="auto"/>
      </w:pPr>
      <w:r>
        <w:t>Relational Storage Layer (PostgreSQL Server): Used SQLAlchemy to automatically model and transfer the refined dataframe into permanent production server schemas. Advanced aggregations and compound KPIs were executed directly via raw SQL queries.</w:t>
      </w:r>
    </w:p>
    <w:p>
      <w:pPr>
        <w:pStyle w:val="ListBullet"/>
        <w:spacing w:after="80" w:line="276" w:lineRule="auto"/>
      </w:pPr>
      <w:r>
        <w:t>Visualization &amp; Discovery Layer (Power BI Desktop): Implemented native data connectors to hook directly into the live PostgreSQL server. Built responsive cross-filtering dashboard frames optimized with zeroed-baseline variables and clear corporate business terminology.</w:t>
      </w:r>
    </w:p>
    <w:p>
      <w:pPr>
        <w:keepNext/>
        <w:spacing w:before="320" w:after="120"/>
      </w:pPr>
      <w:r>
        <w:rPr>
          <w:b/>
          <w:color w:val="1B365D"/>
          <w:sz w:val="28"/>
        </w:rPr>
        <w:t>3. Key Operational &amp; Financial Insights</w:t>
      </w:r>
    </w:p>
    <w:p>
      <w:pPr>
        <w:keepNext/>
        <w:spacing w:before="240" w:after="80"/>
      </w:pPr>
      <w:r>
        <w:rPr>
          <w:b/>
          <w:color w:val="2C5E8A"/>
          <w:sz w:val="24"/>
        </w:rPr>
        <w:t>3.1 Therapeutic Concentration Analysis</w:t>
      </w:r>
    </w:p>
    <w:p>
      <w:pPr>
        <w:spacing w:after="160" w:line="276" w:lineRule="auto"/>
      </w:pPr>
      <w:r>
        <w:t>Data metrics reveal an immense dependency on short-term, acute drug groups. Over 41% of total cash flow ($2.64M) is tied up exclusively within the Antibiotic ($1.33M) and Painkiller ($1.31M) segments. This leaves the pharmacy network vulnerable to inventory stagnation while risking stockouts for critical, high-recurrent chronic lines like Diabetes ($0.71M) and Cardiac care ($0.65M).</w:t>
      </w:r>
    </w:p>
    <w:p>
      <w:pPr>
        <w:keepNext/>
        <w:spacing w:before="240" w:after="80"/>
      </w:pPr>
      <w:r>
        <w:rPr>
          <w:b/>
          <w:color w:val="2C5E8A"/>
          <w:sz w:val="24"/>
        </w:rPr>
        <w:t>3.2 Top 5 Molecules Driving Retail Liquidity</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864"/>
            <w:shd w:val="clear" w:color="auto" w:fill="1B365D"/>
          </w:tcPr>
          <w:p>
            <w:pPr>
              <w:spacing w:before="80" w:after="80"/>
              <w:jc w:val="center"/>
            </w:pPr>
            <w:r>
              <w:rPr>
                <w:b/>
                <w:color w:val="FFFFFF"/>
                <w:sz w:val="20"/>
              </w:rPr>
              <w:t>Rank</w:t>
            </w:r>
          </w:p>
        </w:tc>
        <w:tc>
          <w:tcPr>
            <w:tcW w:type="dxa" w:w="2160"/>
            <w:shd w:val="clear" w:color="auto" w:fill="1B365D"/>
          </w:tcPr>
          <w:p>
            <w:pPr>
              <w:spacing w:before="80" w:after="80"/>
              <w:jc w:val="center"/>
            </w:pPr>
            <w:r>
              <w:rPr>
                <w:b/>
                <w:color w:val="FFFFFF"/>
                <w:sz w:val="20"/>
              </w:rPr>
              <w:t>Active Compound</w:t>
            </w:r>
          </w:p>
        </w:tc>
        <w:tc>
          <w:tcPr>
            <w:tcW w:type="dxa" w:w="2160"/>
            <w:shd w:val="clear" w:color="auto" w:fill="1B365D"/>
          </w:tcPr>
          <w:p>
            <w:pPr>
              <w:spacing w:before="80" w:after="80"/>
              <w:jc w:val="center"/>
            </w:pPr>
            <w:r>
              <w:rPr>
                <w:b/>
                <w:color w:val="FFFFFF"/>
                <w:sz w:val="20"/>
              </w:rPr>
              <w:t>Therapeutic Indication</w:t>
            </w:r>
          </w:p>
        </w:tc>
        <w:tc>
          <w:tcPr>
            <w:tcW w:type="dxa" w:w="2016"/>
            <w:shd w:val="clear" w:color="auto" w:fill="1B365D"/>
          </w:tcPr>
          <w:p>
            <w:pPr>
              <w:spacing w:before="80" w:after="80"/>
              <w:jc w:val="center"/>
            </w:pPr>
            <w:r>
              <w:rPr>
                <w:b/>
                <w:color w:val="FFFFFF"/>
                <w:sz w:val="20"/>
              </w:rPr>
              <w:t>Revenue Segment Share</w:t>
            </w:r>
          </w:p>
        </w:tc>
        <w:tc>
          <w:tcPr>
            <w:tcW w:type="dxa" w:w="3168"/>
            <w:shd w:val="clear" w:color="auto" w:fill="1B365D"/>
          </w:tcPr>
          <w:p>
            <w:pPr>
              <w:spacing w:before="80" w:after="80"/>
              <w:jc w:val="left"/>
            </w:pPr>
            <w:r>
              <w:rPr>
                <w:b/>
                <w:color w:val="FFFFFF"/>
                <w:sz w:val="20"/>
              </w:rPr>
              <w:t>Operational Character</w:t>
            </w:r>
          </w:p>
        </w:tc>
      </w:tr>
      <w:tr>
        <w:tc>
          <w:tcPr>
            <w:tcW w:type="dxa" w:w="864"/>
          </w:tcPr>
          <w:p>
            <w:pPr>
              <w:spacing w:before="80" w:after="80"/>
              <w:jc w:val="center"/>
            </w:pPr>
            <w:r>
              <w:rPr>
                <w:sz w:val="20"/>
              </w:rPr>
              <w:t>1</w:t>
            </w:r>
          </w:p>
        </w:tc>
        <w:tc>
          <w:tcPr>
            <w:tcW w:type="dxa" w:w="2160"/>
          </w:tcPr>
          <w:p>
            <w:pPr>
              <w:spacing w:before="80" w:after="80"/>
            </w:pPr>
            <w:r>
              <w:rPr>
                <w:sz w:val="20"/>
              </w:rPr>
              <w:t>Metformin</w:t>
            </w:r>
          </w:p>
        </w:tc>
        <w:tc>
          <w:tcPr>
            <w:tcW w:type="dxa" w:w="2160"/>
          </w:tcPr>
          <w:p>
            <w:pPr>
              <w:spacing w:before="80" w:after="80"/>
            </w:pPr>
            <w:r>
              <w:rPr>
                <w:sz w:val="20"/>
              </w:rPr>
              <w:t>Diabetes Care</w:t>
            </w:r>
          </w:p>
        </w:tc>
        <w:tc>
          <w:tcPr>
            <w:tcW w:type="dxa" w:w="2016"/>
          </w:tcPr>
          <w:p>
            <w:pPr>
              <w:spacing w:before="80" w:after="80"/>
              <w:jc w:val="center"/>
            </w:pPr>
            <w:r>
              <w:rPr>
                <w:sz w:val="20"/>
              </w:rPr>
              <w:t>23.60%</w:t>
            </w:r>
          </w:p>
        </w:tc>
        <w:tc>
          <w:tcPr>
            <w:tcW w:type="dxa" w:w="3168"/>
          </w:tcPr>
          <w:p>
            <w:pPr>
              <w:spacing w:before="80" w:after="80"/>
            </w:pPr>
            <w:r>
              <w:rPr>
                <w:sz w:val="20"/>
              </w:rPr>
              <w:t>High-recurrent chronic demand</w:t>
            </w:r>
          </w:p>
        </w:tc>
      </w:tr>
      <w:tr>
        <w:tc>
          <w:tcPr>
            <w:tcW w:type="dxa" w:w="864"/>
            <w:shd w:val="clear" w:color="auto" w:fill="F2F5F8"/>
          </w:tcPr>
          <w:p>
            <w:pPr>
              <w:spacing w:before="80" w:after="80"/>
              <w:jc w:val="center"/>
            </w:pPr>
            <w:r>
              <w:rPr>
                <w:sz w:val="20"/>
              </w:rPr>
              <w:t>2</w:t>
            </w:r>
          </w:p>
        </w:tc>
        <w:tc>
          <w:tcPr>
            <w:tcW w:type="dxa" w:w="2160"/>
            <w:shd w:val="clear" w:color="auto" w:fill="F2F5F8"/>
          </w:tcPr>
          <w:p>
            <w:pPr>
              <w:spacing w:before="80" w:after="80"/>
            </w:pPr>
            <w:r>
              <w:rPr>
                <w:sz w:val="20"/>
              </w:rPr>
              <w:t>Azithromycin</w:t>
            </w:r>
          </w:p>
        </w:tc>
        <w:tc>
          <w:tcPr>
            <w:tcW w:type="dxa" w:w="2160"/>
            <w:shd w:val="clear" w:color="auto" w:fill="F2F5F8"/>
          </w:tcPr>
          <w:p>
            <w:pPr>
              <w:spacing w:before="80" w:after="80"/>
            </w:pPr>
            <w:r>
              <w:rPr>
                <w:sz w:val="20"/>
              </w:rPr>
              <w:t>Antibiotic</w:t>
            </w:r>
          </w:p>
        </w:tc>
        <w:tc>
          <w:tcPr>
            <w:tcW w:type="dxa" w:w="2016"/>
            <w:shd w:val="clear" w:color="auto" w:fill="F2F5F8"/>
          </w:tcPr>
          <w:p>
            <w:pPr>
              <w:spacing w:before="80" w:after="80"/>
              <w:jc w:val="center"/>
            </w:pPr>
            <w:r>
              <w:rPr>
                <w:sz w:val="20"/>
              </w:rPr>
              <w:t>20.94%</w:t>
            </w:r>
          </w:p>
        </w:tc>
        <w:tc>
          <w:tcPr>
            <w:tcW w:type="dxa" w:w="3168"/>
            <w:shd w:val="clear" w:color="auto" w:fill="F2F5F8"/>
          </w:tcPr>
          <w:p>
            <w:pPr>
              <w:spacing w:before="80" w:after="80"/>
            </w:pPr>
            <w:r>
              <w:rPr>
                <w:sz w:val="20"/>
              </w:rPr>
              <w:t>Seasonal/Acute spikes</w:t>
            </w:r>
          </w:p>
        </w:tc>
      </w:tr>
      <w:tr>
        <w:tc>
          <w:tcPr>
            <w:tcW w:type="dxa" w:w="864"/>
          </w:tcPr>
          <w:p>
            <w:pPr>
              <w:spacing w:before="80" w:after="80"/>
              <w:jc w:val="center"/>
            </w:pPr>
            <w:r>
              <w:rPr>
                <w:sz w:val="20"/>
              </w:rPr>
              <w:t>3</w:t>
            </w:r>
          </w:p>
        </w:tc>
        <w:tc>
          <w:tcPr>
            <w:tcW w:type="dxa" w:w="2160"/>
          </w:tcPr>
          <w:p>
            <w:pPr>
              <w:spacing w:before="80" w:after="80"/>
            </w:pPr>
            <w:r>
              <w:rPr>
                <w:sz w:val="20"/>
              </w:rPr>
              <w:t>Pantoprazole</w:t>
            </w:r>
          </w:p>
        </w:tc>
        <w:tc>
          <w:tcPr>
            <w:tcW w:type="dxa" w:w="2160"/>
          </w:tcPr>
          <w:p>
            <w:pPr>
              <w:spacing w:before="80" w:after="80"/>
            </w:pPr>
            <w:r>
              <w:rPr>
                <w:sz w:val="20"/>
              </w:rPr>
              <w:t>Gastro / PPI</w:t>
            </w:r>
          </w:p>
        </w:tc>
        <w:tc>
          <w:tcPr>
            <w:tcW w:type="dxa" w:w="2016"/>
          </w:tcPr>
          <w:p>
            <w:pPr>
              <w:spacing w:before="80" w:after="80"/>
              <w:jc w:val="center"/>
            </w:pPr>
            <w:r>
              <w:rPr>
                <w:sz w:val="20"/>
              </w:rPr>
              <w:t>20.05%</w:t>
            </w:r>
          </w:p>
        </w:tc>
        <w:tc>
          <w:tcPr>
            <w:tcW w:type="dxa" w:w="3168"/>
          </w:tcPr>
          <w:p>
            <w:pPr>
              <w:spacing w:before="80" w:after="80"/>
            </w:pPr>
            <w:r>
              <w:rPr>
                <w:sz w:val="20"/>
              </w:rPr>
              <w:t>High co-prescription velocity</w:t>
            </w:r>
          </w:p>
        </w:tc>
      </w:tr>
      <w:tr>
        <w:tc>
          <w:tcPr>
            <w:tcW w:type="dxa" w:w="864"/>
            <w:shd w:val="clear" w:color="auto" w:fill="F2F5F8"/>
          </w:tcPr>
          <w:p>
            <w:pPr>
              <w:spacing w:before="80" w:after="80"/>
              <w:jc w:val="center"/>
            </w:pPr>
            <w:r>
              <w:rPr>
                <w:sz w:val="20"/>
              </w:rPr>
              <w:t>4</w:t>
            </w:r>
          </w:p>
        </w:tc>
        <w:tc>
          <w:tcPr>
            <w:tcW w:type="dxa" w:w="2160"/>
            <w:shd w:val="clear" w:color="auto" w:fill="F2F5F8"/>
          </w:tcPr>
          <w:p>
            <w:pPr>
              <w:spacing w:before="80" w:after="80"/>
            </w:pPr>
            <w:r>
              <w:rPr>
                <w:sz w:val="20"/>
              </w:rPr>
              <w:t>Vitamin C</w:t>
            </w:r>
          </w:p>
        </w:tc>
        <w:tc>
          <w:tcPr>
            <w:tcW w:type="dxa" w:w="2160"/>
            <w:shd w:val="clear" w:color="auto" w:fill="F2F5F8"/>
          </w:tcPr>
          <w:p>
            <w:pPr>
              <w:spacing w:before="80" w:after="80"/>
            </w:pPr>
            <w:r>
              <w:rPr>
                <w:sz w:val="20"/>
              </w:rPr>
              <w:t>Supplement</w:t>
            </w:r>
          </w:p>
        </w:tc>
        <w:tc>
          <w:tcPr>
            <w:tcW w:type="dxa" w:w="2016"/>
            <w:shd w:val="clear" w:color="auto" w:fill="F2F5F8"/>
          </w:tcPr>
          <w:p>
            <w:pPr>
              <w:spacing w:before="80" w:after="80"/>
              <w:jc w:val="center"/>
            </w:pPr>
            <w:r>
              <w:rPr>
                <w:sz w:val="20"/>
              </w:rPr>
              <w:t>18.15%</w:t>
            </w:r>
          </w:p>
        </w:tc>
        <w:tc>
          <w:tcPr>
            <w:tcW w:type="dxa" w:w="3168"/>
            <w:shd w:val="clear" w:color="auto" w:fill="F2F5F8"/>
          </w:tcPr>
          <w:p>
            <w:pPr>
              <w:spacing w:before="80" w:after="80"/>
            </w:pPr>
            <w:r>
              <w:rPr>
                <w:sz w:val="20"/>
              </w:rPr>
              <w:t>High volume, steady consumption</w:t>
            </w:r>
          </w:p>
        </w:tc>
      </w:tr>
      <w:tr>
        <w:tc>
          <w:tcPr>
            <w:tcW w:type="dxa" w:w="864"/>
          </w:tcPr>
          <w:p>
            <w:pPr>
              <w:spacing w:before="80" w:after="80"/>
              <w:jc w:val="center"/>
            </w:pPr>
            <w:r>
              <w:rPr>
                <w:sz w:val="20"/>
              </w:rPr>
              <w:t>5</w:t>
            </w:r>
          </w:p>
        </w:tc>
        <w:tc>
          <w:tcPr>
            <w:tcW w:type="dxa" w:w="2160"/>
          </w:tcPr>
          <w:p>
            <w:pPr>
              <w:spacing w:before="80" w:after="80"/>
            </w:pPr>
            <w:r>
              <w:rPr>
                <w:sz w:val="20"/>
              </w:rPr>
              <w:t>Ibuprofen</w:t>
            </w:r>
          </w:p>
        </w:tc>
        <w:tc>
          <w:tcPr>
            <w:tcW w:type="dxa" w:w="2160"/>
          </w:tcPr>
          <w:p>
            <w:pPr>
              <w:spacing w:before="80" w:after="80"/>
            </w:pPr>
            <w:r>
              <w:rPr>
                <w:sz w:val="20"/>
              </w:rPr>
              <w:t>Painkiller / NSAID</w:t>
            </w:r>
          </w:p>
        </w:tc>
        <w:tc>
          <w:tcPr>
            <w:tcW w:type="dxa" w:w="2016"/>
          </w:tcPr>
          <w:p>
            <w:pPr>
              <w:spacing w:before="80" w:after="80"/>
              <w:jc w:val="center"/>
            </w:pPr>
            <w:r>
              <w:rPr>
                <w:sz w:val="20"/>
              </w:rPr>
              <w:t>17.26%</w:t>
            </w:r>
          </w:p>
        </w:tc>
        <w:tc>
          <w:tcPr>
            <w:tcW w:type="dxa" w:w="3168"/>
          </w:tcPr>
          <w:p>
            <w:pPr>
              <w:spacing w:before="80" w:after="80"/>
            </w:pPr>
            <w:r>
              <w:rPr>
                <w:sz w:val="20"/>
              </w:rPr>
              <w:t>High transactional frequency</w:t>
            </w:r>
          </w:p>
        </w:tc>
      </w:tr>
    </w:tbl>
    <w:p>
      <w:pPr>
        <w:spacing w:before="160"/>
      </w:pPr>
    </w:p>
    <w:p>
      <w:pPr>
        <w:keepNext/>
        <w:spacing w:before="240" w:after="80"/>
      </w:pPr>
      <w:r>
        <w:rPr>
          <w:b/>
          <w:color w:val="2C5E8A"/>
          <w:sz w:val="24"/>
        </w:rPr>
        <w:t>3.3 The Chronological Correction</w:t>
      </w:r>
    </w:p>
    <w:p>
      <w:pPr>
        <w:spacing w:after="160" w:line="276" w:lineRule="auto"/>
      </w:pPr>
      <w:r>
        <w:t>By fixing the legacy data sorting error—which mistakenly sorted time-series elements descending by revenue volume rather than date progression—the business timeline was restored to true sequence. Rather than a steady decline, the corrected data reveals an upward-trending, compounding market curve starting at a low baseline of $36K in early spring (Mar-2026) and peaking at an executive record high of $101K in Dec-2026, signaling an end-of-year seasonal demand wave.</w:t>
      </w:r>
    </w:p>
    <w:p>
      <w:pPr>
        <w:keepNext/>
        <w:spacing w:before="240" w:after="80"/>
      </w:pPr>
      <w:r>
        <w:rPr>
          <w:b/>
          <w:color w:val="2C5E8A"/>
          <w:sz w:val="24"/>
        </w:rPr>
        <w:t>3.4 Demographic Distribution Parity</w:t>
      </w:r>
    </w:p>
    <w:p>
      <w:pPr>
        <w:spacing w:after="160" w:line="276" w:lineRule="auto"/>
      </w:pPr>
      <w:r>
        <w:t>Patient profiles show balanced metrics across all key cohorts. Gender Sales are distributed almost equally, with Male consumers contributing $3.3M and Female consumers generating $3.2M. Similarly, Age Groups maintain high symmetry across the lifespan: Children ($2.3M), Adults ($2.2M), and Seniors ($2.1M), proving that branch store layout configurations must preserve accessible multi-generational features.</w:t>
      </w:r>
    </w:p>
    <w:p>
      <w:pPr>
        <w:keepNext/>
        <w:spacing w:before="320" w:after="120"/>
      </w:pPr>
      <w:r>
        <w:rPr>
          <w:b/>
          <w:color w:val="1B365D"/>
          <w:sz w:val="28"/>
        </w:rPr>
        <w:t>4. Strategic Recommendations &amp; Strategic Action Plan</w:t>
      </w:r>
    </w:p>
    <w:p>
      <w:pPr>
        <w:pStyle w:val="ListBullet"/>
        <w:spacing w:after="80" w:line="276" w:lineRule="auto"/>
      </w:pPr>
      <w:r>
        <w:t>Dynamic Reorder Points (ROP): Deploy a time-phased inventory modeling system to trigger a programmatic 15% safety stock expansion starting at the close of Q3, ensuring adequate coverage for the verified Q4 consumer surge.</w:t>
      </w:r>
    </w:p>
    <w:p>
      <w:pPr>
        <w:pStyle w:val="ListBullet"/>
        <w:spacing w:after="80" w:line="276" w:lineRule="auto"/>
      </w:pPr>
      <w:r>
        <w:t>Capital Portfolio Rebalancing: Divest 10% of liquid holdings out of slow-moving acute Antibiotic storage and reallocate funds to just-in-time (JIT) fulfillment operations for chronic maintenance agents like Metformin.</w:t>
      </w:r>
    </w:p>
    <w:p>
      <w:pPr>
        <w:pStyle w:val="ListBullet"/>
        <w:spacing w:after="80" w:line="276" w:lineRule="auto"/>
      </w:pPr>
      <w:r>
        <w:t>Gateway Synchronization: Bridge digital payment gateway (UPI) webhooks directly into the relational database layer to automate immediate warehouse packing orders upon clearance, slashing fulfillment cycles from days to hours.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