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B2C58" w14:textId="578BE7ED" w:rsidR="00AA239E" w:rsidRPr="003B6ABA" w:rsidRDefault="00AA239E" w:rsidP="00AA239E">
      <w:pPr>
        <w:rPr>
          <w:b/>
          <w:bCs/>
        </w:rPr>
      </w:pPr>
      <w:r>
        <w:rPr>
          <w:b/>
          <w:bCs/>
        </w:rPr>
        <w:t xml:space="preserve">Name: </w:t>
      </w:r>
      <w:r w:rsidR="00D34A62" w:rsidRPr="00D34A62">
        <w:rPr>
          <w:b/>
          <w:bCs/>
        </w:rPr>
        <w:t>Tanuj Dargan</w:t>
      </w:r>
      <w:r>
        <w:rPr>
          <w:b/>
          <w:bCs/>
        </w:rPr>
        <w:t xml:space="preserve">              </w:t>
      </w:r>
      <w:r w:rsidR="00D34A62">
        <w:rPr>
          <w:b/>
          <w:bCs/>
        </w:rPr>
        <w:tab/>
      </w:r>
      <w:r w:rsidR="00D34A62">
        <w:rPr>
          <w:b/>
          <w:bCs/>
        </w:rPr>
        <w:tab/>
      </w:r>
      <w:r w:rsidR="00D34A62">
        <w:rPr>
          <w:b/>
          <w:bCs/>
        </w:rPr>
        <w:tab/>
      </w:r>
      <w:r w:rsidR="00D34A62">
        <w:rPr>
          <w:b/>
          <w:bCs/>
        </w:rPr>
        <w:tab/>
      </w:r>
      <w:r w:rsidR="00D34A62">
        <w:rPr>
          <w:b/>
          <w:bCs/>
        </w:rPr>
        <w:tab/>
      </w:r>
      <w:r w:rsidR="00D34A62">
        <w:rPr>
          <w:b/>
          <w:bCs/>
        </w:rPr>
        <w:tab/>
      </w:r>
      <w:r>
        <w:rPr>
          <w:b/>
          <w:bCs/>
        </w:rPr>
        <w:t xml:space="preserve">Student Number: </w:t>
      </w:r>
      <w:r w:rsidR="00D34A62">
        <w:rPr>
          <w:b/>
          <w:bCs/>
        </w:rPr>
        <w:t>V01040822</w:t>
      </w:r>
    </w:p>
    <w:p w14:paraId="18EABDA7" w14:textId="5A453613" w:rsidR="00457F86" w:rsidRDefault="0091308B">
      <w:pPr>
        <w:rPr>
          <w:b/>
          <w:bCs/>
        </w:rPr>
      </w:pPr>
      <w:r>
        <w:rPr>
          <w:b/>
          <w:bCs/>
        </w:rPr>
        <w:t>Part 1: Q9 in Quiz 5</w:t>
      </w:r>
    </w:p>
    <w:p w14:paraId="36959FCC" w14:textId="5C8F2927" w:rsidR="0091308B" w:rsidRDefault="00D34A62">
      <w:pPr>
        <w:rPr>
          <w:b/>
          <w:bCs/>
        </w:rPr>
      </w:pPr>
      <w:r>
        <w:rPr>
          <w:b/>
          <w:bCs/>
        </w:rPr>
        <w:t>= 12,000 * 192/17.6</w:t>
      </w:r>
    </w:p>
    <w:p w14:paraId="7D162318" w14:textId="7303EABE" w:rsidR="0091308B" w:rsidRDefault="00D34A62">
      <w:pPr>
        <w:rPr>
          <w:b/>
          <w:bCs/>
        </w:rPr>
      </w:pPr>
      <w:r>
        <w:rPr>
          <w:b/>
          <w:bCs/>
        </w:rPr>
        <w:t>= 130,909</w:t>
      </w:r>
    </w:p>
    <w:p w14:paraId="74AB724D" w14:textId="0A66D934" w:rsidR="000A5E66" w:rsidRDefault="000A5E66">
      <w:pPr>
        <w:rPr>
          <w:b/>
          <w:bCs/>
        </w:rPr>
      </w:pPr>
      <w:r>
        <w:rPr>
          <w:b/>
          <w:bCs/>
        </w:rPr>
        <w:t xml:space="preserve">Part </w:t>
      </w:r>
      <w:r w:rsidR="0091308B">
        <w:rPr>
          <w:b/>
          <w:bCs/>
        </w:rPr>
        <w:t>2</w:t>
      </w:r>
      <w:r>
        <w:rPr>
          <w:b/>
          <w:bCs/>
        </w:rPr>
        <w:t>: Data Activity</w:t>
      </w:r>
    </w:p>
    <w:p w14:paraId="563E7444" w14:textId="4147A5AB" w:rsidR="00AA239E" w:rsidRDefault="00AA239E">
      <w:pPr>
        <w:rPr>
          <w:b/>
          <w:bCs/>
        </w:rPr>
      </w:pPr>
      <w:r>
        <w:rPr>
          <w:b/>
          <w:bCs/>
        </w:rPr>
        <w:t xml:space="preserve">Question 1: </w:t>
      </w:r>
    </w:p>
    <w:p w14:paraId="50C52BE8" w14:textId="19994843" w:rsidR="00AA239E" w:rsidRDefault="00AA239E">
      <w:r>
        <w:t xml:space="preserve">Of the </w:t>
      </w:r>
      <w:r w:rsidR="00031593">
        <w:t>product and product group</w:t>
      </w:r>
      <w:r>
        <w:t xml:space="preserve"> option</w:t>
      </w:r>
      <w:r w:rsidR="00031593">
        <w:t>s</w:t>
      </w:r>
      <w:r>
        <w:t xml:space="preserve">, which did you choose </w:t>
      </w:r>
      <w:r w:rsidR="00031593">
        <w:t xml:space="preserve">to analyze? </w:t>
      </w:r>
    </w:p>
    <w:p w14:paraId="33ACC0F5" w14:textId="284365D1" w:rsidR="00B94CF2" w:rsidRDefault="00B94CF2">
      <w:r>
        <w:t>I choose Transportation.</w:t>
      </w:r>
    </w:p>
    <w:p w14:paraId="6B3E8394" w14:textId="5CFA9980" w:rsidR="00545458" w:rsidRDefault="00AA239E">
      <w:r>
        <w:t xml:space="preserve">Using your downloaded data, calculate the </w:t>
      </w:r>
      <w:r w:rsidR="00F737B0" w:rsidRPr="00F737B0">
        <w:rPr>
          <w:b/>
          <w:bCs/>
        </w:rPr>
        <w:t xml:space="preserve">12-month </w:t>
      </w:r>
      <w:r w:rsidRPr="00F737B0">
        <w:rPr>
          <w:b/>
          <w:bCs/>
        </w:rPr>
        <w:t>inflation rate</w:t>
      </w:r>
      <w:r>
        <w:t xml:space="preserve"> for the ‘All Items’ category and your product </w:t>
      </w:r>
      <w:r w:rsidR="00E86CE4">
        <w:t>category</w:t>
      </w:r>
      <w:r w:rsidR="00031593">
        <w:t xml:space="preserve"> of interest</w:t>
      </w:r>
      <w:r w:rsidR="00E86CE4">
        <w:t xml:space="preserve">. </w:t>
      </w:r>
      <w:r w:rsidR="00584FF3">
        <w:t xml:space="preserve">Present a clearly communicated graph with these inflation rates. </w:t>
      </w:r>
      <w:r w:rsidR="00823F75">
        <w:t xml:space="preserve">This graph will have time on the x-axis and inflation rate on the y-axis. </w:t>
      </w:r>
      <w:r w:rsidR="00BB0893">
        <w:t xml:space="preserve">Please refer to the ‘What makes a good graph’ document on our course page to help you create a readable graph. </w:t>
      </w:r>
    </w:p>
    <w:p w14:paraId="14DF9C4B" w14:textId="62A4AE32" w:rsidR="00E231BF" w:rsidRPr="00C845A7" w:rsidRDefault="00C845A7">
      <w:pPr>
        <w:rPr>
          <w:i/>
          <w:iCs/>
        </w:rPr>
      </w:pPr>
      <w:r w:rsidRPr="00C845A7">
        <w:rPr>
          <w:i/>
          <w:iCs/>
        </w:rPr>
        <w:t>12-month inflation rate example</w:t>
      </w:r>
      <w:r w:rsidR="00E231BF" w:rsidRPr="00C845A7">
        <w:rPr>
          <w:i/>
          <w:iCs/>
        </w:rPr>
        <w:t xml:space="preserve">: </w:t>
      </w:r>
      <w:r w:rsidR="00E231BF" w:rsidRPr="00EB5D1E">
        <w:rPr>
          <w:i/>
          <w:iCs/>
          <w:u w:val="single"/>
        </w:rPr>
        <w:t>For January 2020</w:t>
      </w:r>
      <w:r w:rsidR="00E231BF" w:rsidRPr="00C845A7">
        <w:rPr>
          <w:i/>
          <w:iCs/>
        </w:rPr>
        <w:t xml:space="preserve">, you would use </w:t>
      </w:r>
      <w:r w:rsidRPr="00C845A7">
        <w:rPr>
          <w:i/>
          <w:iCs/>
        </w:rPr>
        <w:t xml:space="preserve">the data from January 2020 and January 2019 to calculate the </w:t>
      </w:r>
      <w:r w:rsidR="00D536D0" w:rsidRPr="00C845A7">
        <w:rPr>
          <w:i/>
          <w:iCs/>
        </w:rPr>
        <w:t>12-month</w:t>
      </w:r>
      <w:r w:rsidRPr="00C845A7">
        <w:rPr>
          <w:i/>
          <w:iCs/>
        </w:rPr>
        <w:t xml:space="preserve"> inflation rate. </w:t>
      </w:r>
      <w:r w:rsidR="00EB5D1E">
        <w:rPr>
          <w:i/>
          <w:iCs/>
        </w:rPr>
        <w:t xml:space="preserve">We are calculating the % increase in the price level from January 2019 to 2020. </w:t>
      </w:r>
    </w:p>
    <w:p w14:paraId="23C1FAC3" w14:textId="77777777" w:rsidR="00006C6D" w:rsidRDefault="00006C6D" w:rsidP="00006C6D">
      <w:pPr>
        <w:rPr>
          <w:b/>
          <w:bCs/>
        </w:rPr>
      </w:pPr>
      <w:r>
        <w:rPr>
          <w:b/>
          <w:bCs/>
        </w:rPr>
        <w:t xml:space="preserve">Present your clearly communicated graph below: </w:t>
      </w:r>
    </w:p>
    <w:p w14:paraId="0A70C854" w14:textId="242B8AE9" w:rsidR="00006C6D" w:rsidRDefault="00D34A62">
      <w:r>
        <w:rPr>
          <w:noProof/>
        </w:rPr>
        <w:drawing>
          <wp:inline distT="0" distB="0" distL="0" distR="0" wp14:anchorId="357CDFAB" wp14:editId="28EDF698">
            <wp:extent cx="5943600" cy="3282950"/>
            <wp:effectExtent l="0" t="0" r="0" b="12700"/>
            <wp:docPr id="214531490" name="Chart 1">
              <a:extLst xmlns:a="http://schemas.openxmlformats.org/drawingml/2006/main">
                <a:ext uri="{FF2B5EF4-FFF2-40B4-BE49-F238E27FC236}">
                  <a16:creationId xmlns:a16="http://schemas.microsoft.com/office/drawing/2014/main" id="{ECE2100A-06E8-506D-DBE6-B4DDB5C0F0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747884" w14:textId="6C400D48" w:rsidR="00006C6D" w:rsidRDefault="00006C6D"/>
    <w:p w14:paraId="704A7F3C" w14:textId="750024BE" w:rsidR="00006C6D" w:rsidRDefault="00006C6D"/>
    <w:p w14:paraId="218E8848" w14:textId="740F045A" w:rsidR="00006C6D" w:rsidRDefault="00006C6D"/>
    <w:p w14:paraId="58D99DDB" w14:textId="297FB668" w:rsidR="0091308B" w:rsidRDefault="0091308B"/>
    <w:p w14:paraId="2DB6FAE3" w14:textId="51E2FBE3" w:rsidR="005E45C3" w:rsidRDefault="00415120">
      <w:pPr>
        <w:rPr>
          <w:b/>
          <w:bCs/>
        </w:rPr>
      </w:pPr>
      <w:r w:rsidRPr="00BA402E">
        <w:rPr>
          <w:b/>
          <w:bCs/>
        </w:rPr>
        <w:t xml:space="preserve">Comment on the </w:t>
      </w:r>
      <w:r w:rsidR="005103D8" w:rsidRPr="00BA402E">
        <w:rPr>
          <w:b/>
          <w:bCs/>
        </w:rPr>
        <w:t>trends that you see in your graph</w:t>
      </w:r>
      <w:r w:rsidR="00FE0F64" w:rsidRPr="00BA402E">
        <w:rPr>
          <w:b/>
          <w:bCs/>
        </w:rPr>
        <w:t xml:space="preserve">. What similarities or differences are visible between the </w:t>
      </w:r>
      <w:r w:rsidR="0091308B" w:rsidRPr="00BA402E">
        <w:rPr>
          <w:b/>
          <w:bCs/>
        </w:rPr>
        <w:t>“</w:t>
      </w:r>
      <w:r w:rsidR="00FE0F64" w:rsidRPr="00BA402E">
        <w:rPr>
          <w:b/>
          <w:bCs/>
        </w:rPr>
        <w:t>All Items</w:t>
      </w:r>
      <w:r w:rsidR="0091308B" w:rsidRPr="00BA402E">
        <w:rPr>
          <w:b/>
          <w:bCs/>
        </w:rPr>
        <w:t>”</w:t>
      </w:r>
      <w:r w:rsidR="00FE0F64" w:rsidRPr="00BA402E">
        <w:rPr>
          <w:b/>
          <w:bCs/>
        </w:rPr>
        <w:t xml:space="preserve"> category and your product category</w:t>
      </w:r>
      <w:r w:rsidR="00006C6D" w:rsidRPr="00BA402E">
        <w:rPr>
          <w:b/>
          <w:bCs/>
        </w:rPr>
        <w:t xml:space="preserve"> of interest</w:t>
      </w:r>
      <w:r w:rsidR="00FE0F64" w:rsidRPr="00BA402E">
        <w:rPr>
          <w:b/>
          <w:bCs/>
        </w:rPr>
        <w:t xml:space="preserve">? </w:t>
      </w:r>
    </w:p>
    <w:p w14:paraId="4B63E7FC" w14:textId="607379FE" w:rsidR="000E19DE" w:rsidRDefault="000E19DE">
      <w:pPr>
        <w:rPr>
          <w:b/>
          <w:bCs/>
        </w:rPr>
      </w:pPr>
      <w:r>
        <w:rPr>
          <w:b/>
          <w:bCs/>
        </w:rPr>
        <w:t>Key Points:</w:t>
      </w:r>
    </w:p>
    <w:p w14:paraId="4523D586" w14:textId="77777777" w:rsidR="000E19DE" w:rsidRPr="000E19DE" w:rsidRDefault="000E19DE" w:rsidP="000E19DE">
      <w:pPr>
        <w:numPr>
          <w:ilvl w:val="0"/>
          <w:numId w:val="1"/>
        </w:numPr>
        <w:rPr>
          <w:lang w:val="en-IN"/>
        </w:rPr>
      </w:pPr>
      <w:r w:rsidRPr="000E19DE">
        <w:rPr>
          <w:lang w:val="en-IN"/>
        </w:rPr>
        <w:t>Both categories show a similar trend of increasing inflation starting in early 2015 and peaking in mid-2018.</w:t>
      </w:r>
    </w:p>
    <w:p w14:paraId="0AC352D2" w14:textId="77777777" w:rsidR="000E19DE" w:rsidRPr="000E19DE" w:rsidRDefault="000E19DE" w:rsidP="000E19DE">
      <w:pPr>
        <w:numPr>
          <w:ilvl w:val="0"/>
          <w:numId w:val="1"/>
        </w:numPr>
        <w:rPr>
          <w:lang w:val="en-IN"/>
        </w:rPr>
      </w:pPr>
      <w:r w:rsidRPr="000E19DE">
        <w:rPr>
          <w:lang w:val="en-IN"/>
        </w:rPr>
        <w:t>Since mid-2018, inflation in both categories has generally trended downward.</w:t>
      </w:r>
    </w:p>
    <w:p w14:paraId="024CED4D" w14:textId="77777777" w:rsidR="000E19DE" w:rsidRPr="000E19DE" w:rsidRDefault="000E19DE" w:rsidP="000E19DE">
      <w:pPr>
        <w:numPr>
          <w:ilvl w:val="0"/>
          <w:numId w:val="1"/>
        </w:numPr>
        <w:rPr>
          <w:lang w:val="en-IN"/>
        </w:rPr>
      </w:pPr>
      <w:r w:rsidRPr="000E19DE">
        <w:rPr>
          <w:lang w:val="en-IN"/>
        </w:rPr>
        <w:t>However, transportation inflation has fluctuated more than inflation for all items. For example, transportation inflation increased significantly in early 2021, while inflation for all items remained relatively stable.</w:t>
      </w:r>
    </w:p>
    <w:p w14:paraId="4D3CCDDA" w14:textId="778056B4" w:rsidR="000E19DE" w:rsidRPr="000E19DE" w:rsidRDefault="000E19DE">
      <w:pPr>
        <w:rPr>
          <w:b/>
          <w:bCs/>
        </w:rPr>
      </w:pPr>
      <w:r w:rsidRPr="000E19DE">
        <w:rPr>
          <w:b/>
          <w:bCs/>
        </w:rPr>
        <w:t>Additional Observations/Expanding on previous observations:</w:t>
      </w:r>
    </w:p>
    <w:p w14:paraId="57C2A391" w14:textId="4C340BA1" w:rsidR="00BA402E" w:rsidRDefault="00BA402E" w:rsidP="00BA402E">
      <w:r>
        <w:t>General Trend: Both 'All Items' and 'Transportation' inflation rates show cyclical patterns, with peaks and troughs corresponding to various economic conditions over the years.</w:t>
      </w:r>
    </w:p>
    <w:p w14:paraId="51836519" w14:textId="03AEF73C" w:rsidR="00BA402E" w:rsidRDefault="00BA402E" w:rsidP="00BA402E">
      <w:r>
        <w:t>Volatility: The 'Transportation' category appears to be more volatile with higher peaks and deeper troughs compared to the 'All Items' category. This suggests that transportation costs may be more sensitive to factors such as oil prices and supply chain disruptions.</w:t>
      </w:r>
    </w:p>
    <w:p w14:paraId="422CA3CC" w14:textId="255B3D65" w:rsidR="00BA402E" w:rsidRDefault="00BA402E" w:rsidP="00BA402E">
      <w:r>
        <w:t>Peak Inflation: The highest inflation rate for both categories occurs around mid-2021, with the 'Transportation' category reaching significantly higher levels than the 'All Items' category. This could be due to a sharp increase in transportation costs, possibly related to a rebound in demand following the initial phase of the COVID-19 pandemic and/or increases in fuel prices.</w:t>
      </w:r>
    </w:p>
    <w:p w14:paraId="70EBC514" w14:textId="384F156C" w:rsidR="00BA402E" w:rsidRDefault="00BA402E" w:rsidP="00BA402E">
      <w:r>
        <w:t>Recent Trend: As of the last data point in January 2024, both inflation rates are converging, with the 'Transportation' inflation rate decreasing to a level closer to the 'All Items' rate. This convergence could indicate a stabilization of transportation costs relative to the overall basket of goods and services.</w:t>
      </w:r>
    </w:p>
    <w:p w14:paraId="01CA9AA0" w14:textId="4CF59FE2" w:rsidR="00BA402E" w:rsidRDefault="00BA402E" w:rsidP="00BA402E">
      <w:r>
        <w:t>Negative Inflation (Deflation): There are brief periods where the 'Transportation' category experienced negative inflation, particularly noticeable around early 2015 and again in early 2020. This could be due to a decrease in transportation demand or a drop in fuel prices during those periods.</w:t>
      </w:r>
    </w:p>
    <w:p w14:paraId="4D0EAFEB" w14:textId="06037E2B" w:rsidR="00BA402E" w:rsidRDefault="00BA402E" w:rsidP="00BA402E">
      <w:r>
        <w:t>Recovery and Decline: After the sharp peak in mid-2021, both categories show a decline in inflation rates, with the 'Transportation' category decreasing more rapidly than the 'All Items' category. This suggests that transportation costs may have adjusted more quickly than the general price level of all goods and services.</w:t>
      </w:r>
    </w:p>
    <w:p w14:paraId="1DE8767A" w14:textId="4F0BDBA9" w:rsidR="005E45C3" w:rsidRDefault="00BA402E">
      <w:r>
        <w:t>Overall, the 'Transportation' category shows more extreme changes in inflation rates compared to the 'All Items' category, which could be attributed to the sensitivity of transportation costs to external economic factors. The data also suggests that while both categories follow a similar overall trend, the 'Transportation' category tends to lead in terms of inflation rate changes.</w:t>
      </w:r>
    </w:p>
    <w:p w14:paraId="7EFB05BA" w14:textId="77777777" w:rsidR="000E19DE" w:rsidRDefault="000E19DE"/>
    <w:p w14:paraId="53273604" w14:textId="77777777" w:rsidR="000E19DE" w:rsidRDefault="000E19DE">
      <w:pPr>
        <w:rPr>
          <w:b/>
          <w:bCs/>
        </w:rPr>
      </w:pPr>
    </w:p>
    <w:p w14:paraId="67B3F55D" w14:textId="17347989" w:rsidR="009E72F8" w:rsidRDefault="009E72F8">
      <w:pPr>
        <w:rPr>
          <w:b/>
          <w:bCs/>
          <w:i/>
          <w:iCs/>
        </w:rPr>
      </w:pPr>
      <w:r>
        <w:rPr>
          <w:b/>
          <w:bCs/>
        </w:rPr>
        <w:lastRenderedPageBreak/>
        <w:t xml:space="preserve">Part </w:t>
      </w:r>
      <w:r w:rsidR="0091308B">
        <w:rPr>
          <w:b/>
          <w:bCs/>
        </w:rPr>
        <w:t>3</w:t>
      </w:r>
      <w:r>
        <w:rPr>
          <w:b/>
          <w:bCs/>
        </w:rPr>
        <w:t xml:space="preserve">: Reading Activity </w:t>
      </w:r>
    </w:p>
    <w:p w14:paraId="45B27099" w14:textId="543E3B6B" w:rsidR="00FA57AB" w:rsidRDefault="00BC6AD3">
      <w:r>
        <w:t>According to the article, why do many economists conclude that “</w:t>
      </w:r>
      <w:r w:rsidR="00F0033F" w:rsidRPr="00F0033F">
        <w:t>the rich world’s current bout of inflation ha</w:t>
      </w:r>
      <w:r w:rsidR="0091308B">
        <w:t>s</w:t>
      </w:r>
      <w:r w:rsidR="00F0033F" w:rsidRPr="00F0033F">
        <w:t xml:space="preserve"> minimal costs, or even none at all</w:t>
      </w:r>
      <w:r>
        <w:t>”</w:t>
      </w:r>
      <w:r w:rsidR="0091308B">
        <w:t>? (Hint: the first half of the article answers the question from two aspects:</w:t>
      </w:r>
      <w:r w:rsidR="0091308B" w:rsidRPr="0091308B">
        <w:t xml:space="preserve"> </w:t>
      </w:r>
      <w:r w:rsidR="0091308B">
        <w:t>“</w:t>
      </w:r>
      <w:r w:rsidR="0091308B" w:rsidRPr="0091308B">
        <w:t>Inflation is regarded as costly because it erodes people’s savings and distorts price signals.</w:t>
      </w:r>
      <w:r w:rsidR="0091308B">
        <w:t>”)</w:t>
      </w:r>
    </w:p>
    <w:p w14:paraId="3B96C8DE" w14:textId="6A133871" w:rsidR="000E19DE" w:rsidRPr="000E19DE" w:rsidRDefault="000E19DE">
      <w:pPr>
        <w:rPr>
          <w:b/>
          <w:bCs/>
        </w:rPr>
      </w:pPr>
      <w:r w:rsidRPr="000E19DE">
        <w:rPr>
          <w:b/>
          <w:bCs/>
        </w:rPr>
        <w:t>Answer:</w:t>
      </w:r>
    </w:p>
    <w:p w14:paraId="77A492FF" w14:textId="72CD18C5" w:rsidR="000E19DE" w:rsidRDefault="000E19DE" w:rsidP="000E19DE">
      <w:r>
        <w:t xml:space="preserve">One reason economists believe that the current bout of inflation in the rich world has minimal costs is because of the way it interacts with people's savings. Inflation can erode the value of savings, as the purchasing power of the money saved decreases over </w:t>
      </w:r>
      <w:r>
        <w:t>time.</w:t>
      </w:r>
      <w:r>
        <w:t xml:space="preserve"> However, this effect can be mitigated if inflation is low, stable, and predictable. If this is the case, it is easier to account for inflation in price-adjustment contracts and interest rates, reducing its distortionary </w:t>
      </w:r>
      <w:r>
        <w:t>impact.</w:t>
      </w:r>
      <w:r>
        <w:t xml:space="preserve"> Moreover, some forms of income, such as social security payments, have cost-of-living adjustments that automatically increase when inflation occurs, protecting these incomes from the eroding effect of </w:t>
      </w:r>
      <w:r>
        <w:t>inflation.</w:t>
      </w:r>
    </w:p>
    <w:p w14:paraId="755083E6" w14:textId="38F38F4C" w:rsidR="000E19DE" w:rsidRPr="000E19DE" w:rsidRDefault="000E19DE" w:rsidP="000E19DE">
      <w:pPr>
        <w:rPr>
          <w:b/>
          <w:bCs/>
        </w:rPr>
      </w:pPr>
      <w:r w:rsidRPr="000E19DE">
        <w:rPr>
          <w:b/>
          <w:bCs/>
        </w:rPr>
        <w:t>Inflation Distorting Price Signals</w:t>
      </w:r>
    </w:p>
    <w:p w14:paraId="5BA40C29" w14:textId="7E08F6DE" w:rsidR="000E19DE" w:rsidRDefault="000E19DE" w:rsidP="000E19DE">
      <w:r>
        <w:t xml:space="preserve">Another reason is related to the distortion of price signals. High rates of inflation can muddle price signals in the short term and prevent market forces from operating </w:t>
      </w:r>
      <w:r>
        <w:t>efficiently.</w:t>
      </w:r>
      <w:r>
        <w:t xml:space="preserve"> However, this effect is less pronounced with low rates of inflation. In fact, knowing that prices will be slightly higher in the future can give consumers an incentive to make purchases sooner, which can boost economic </w:t>
      </w:r>
      <w:r>
        <w:t>activity.</w:t>
      </w:r>
      <w:r>
        <w:t xml:space="preserve"> Additionally, inflation can lead to a sequential change in purchasing power and prices, known as the Cantillon effect. This process not only increases the general price level over time, but also distorts relative prices, wages, and rates of return along the </w:t>
      </w:r>
      <w:r>
        <w:t>way.</w:t>
      </w:r>
    </w:p>
    <w:p w14:paraId="4BB0FED3" w14:textId="362A9A92" w:rsidR="000E19DE" w:rsidRPr="000E19DE" w:rsidRDefault="000E19DE" w:rsidP="000E19DE">
      <w:pPr>
        <w:rPr>
          <w:b/>
          <w:bCs/>
        </w:rPr>
      </w:pPr>
      <w:r w:rsidRPr="000E19DE">
        <w:rPr>
          <w:b/>
          <w:bCs/>
        </w:rPr>
        <w:t>Additional Considerations</w:t>
      </w:r>
    </w:p>
    <w:p w14:paraId="0342B668" w14:textId="7E6940A8" w:rsidR="000E19DE" w:rsidRDefault="000E19DE" w:rsidP="000E19DE">
      <w:r>
        <w:t xml:space="preserve">There are also additional factors to consider. For instance, moderate inflation levels can drive consumption, which is crucial for economic growth Furthermore, higher inflation can lead to faster economic growth in the short term, as it can encourage consumers to spend and businesses to </w:t>
      </w:r>
      <w:r>
        <w:t>invest.</w:t>
      </w:r>
      <w:r>
        <w:t xml:space="preserve"> Lastly, if inflation is anticipated, the effects of inflation may be less severe, as wage and pension contracts may have inflation clauses built in, and interest rates will be high enough to cover the cost of inflation to savers and </w:t>
      </w:r>
      <w:r>
        <w:t>lenders.</w:t>
      </w:r>
    </w:p>
    <w:p w14:paraId="34A4A495" w14:textId="315C5580" w:rsidR="00FA57AB" w:rsidRDefault="000E19DE" w:rsidP="000E19DE">
      <w:r>
        <w:t xml:space="preserve">In conclusion, while inflation can erode savings and distort price signals, these effects can be mitigated or even turned into advantages under certain conditions. This is why many economists conclude that the rich world's current bout of inflation has minimal costs, or even </w:t>
      </w:r>
      <w:proofErr w:type="gramStart"/>
      <w:r>
        <w:t>none at all</w:t>
      </w:r>
      <w:proofErr w:type="gramEnd"/>
      <w:r>
        <w:t>.</w:t>
      </w:r>
    </w:p>
    <w:p w14:paraId="6BE970D1" w14:textId="619E6BC2" w:rsidR="00FA57AB" w:rsidRDefault="00FA57AB"/>
    <w:p w14:paraId="1598EC5D" w14:textId="77777777" w:rsidR="00FA57AB" w:rsidRDefault="00FA57AB"/>
    <w:p w14:paraId="566315AE" w14:textId="77777777" w:rsidR="000E19DE" w:rsidRDefault="000E19DE"/>
    <w:p w14:paraId="65D56D12" w14:textId="77777777" w:rsidR="000E19DE" w:rsidRDefault="000E19DE"/>
    <w:p w14:paraId="1CE46EBE" w14:textId="77777777" w:rsidR="000E19DE" w:rsidRDefault="000E19DE"/>
    <w:p w14:paraId="7D32EE66" w14:textId="77777777" w:rsidR="000E19DE" w:rsidRDefault="000E19DE"/>
    <w:p w14:paraId="5EFA8E20" w14:textId="4C1FA0CB" w:rsidR="000E19DE" w:rsidRPr="000E19DE" w:rsidRDefault="00F17C0E" w:rsidP="000E19DE">
      <w:pPr>
        <w:rPr>
          <w:b/>
          <w:bCs/>
        </w:rPr>
      </w:pPr>
      <w:r w:rsidRPr="000E19DE">
        <w:rPr>
          <w:b/>
          <w:bCs/>
        </w:rPr>
        <w:lastRenderedPageBreak/>
        <w:t xml:space="preserve">What </w:t>
      </w:r>
      <w:r w:rsidR="00F0033F" w:rsidRPr="000E19DE">
        <w:rPr>
          <w:b/>
          <w:bCs/>
        </w:rPr>
        <w:t xml:space="preserve">empirical </w:t>
      </w:r>
      <w:r w:rsidR="0091308B" w:rsidRPr="000E19DE">
        <w:rPr>
          <w:b/>
          <w:bCs/>
        </w:rPr>
        <w:t>evidence</w:t>
      </w:r>
      <w:r w:rsidR="00F0033F" w:rsidRPr="000E19DE">
        <w:rPr>
          <w:b/>
          <w:bCs/>
        </w:rPr>
        <w:t xml:space="preserve"> </w:t>
      </w:r>
      <w:r w:rsidRPr="000E19DE">
        <w:rPr>
          <w:b/>
          <w:bCs/>
        </w:rPr>
        <w:t>have economists found in their research on the above two costs of inflation?</w:t>
      </w:r>
    </w:p>
    <w:p w14:paraId="4D2B52B1" w14:textId="77777777" w:rsidR="000E19DE" w:rsidRPr="000E19DE" w:rsidRDefault="000E19DE" w:rsidP="000E19DE">
      <w:pPr>
        <w:rPr>
          <w:lang w:val="en-IN"/>
        </w:rPr>
      </w:pPr>
      <w:r w:rsidRPr="000E19DE">
        <w:rPr>
          <w:b/>
          <w:bCs/>
          <w:lang w:val="en-IN"/>
        </w:rPr>
        <w:t>1. Impact on real wages:</w:t>
      </w:r>
    </w:p>
    <w:p w14:paraId="12102DD0" w14:textId="77777777" w:rsidR="000E19DE" w:rsidRPr="000E19DE" w:rsidRDefault="000E19DE" w:rsidP="000E19DE">
      <w:pPr>
        <w:numPr>
          <w:ilvl w:val="0"/>
          <w:numId w:val="2"/>
        </w:numPr>
        <w:rPr>
          <w:lang w:val="en-IN"/>
        </w:rPr>
      </w:pPr>
      <w:r w:rsidRPr="000E19DE">
        <w:rPr>
          <w:b/>
          <w:bCs/>
          <w:lang w:val="en-IN"/>
        </w:rPr>
        <w:t>Evidence:</w:t>
      </w:r>
      <w:r w:rsidRPr="000E19DE">
        <w:rPr>
          <w:lang w:val="en-IN"/>
        </w:rPr>
        <w:t> While inflation can sometimes outpace wage growth, it doesn't always happen. The article cites a study from 1975 finding American workers receiving inflation-busting pay rises in the previous decade and data showing real wages rising in some high-inflation years across 35 OECD countries since 1990.</w:t>
      </w:r>
    </w:p>
    <w:p w14:paraId="11BA526B" w14:textId="77777777" w:rsidR="000E19DE" w:rsidRPr="000E19DE" w:rsidRDefault="000E19DE" w:rsidP="000E19DE">
      <w:pPr>
        <w:numPr>
          <w:ilvl w:val="0"/>
          <w:numId w:val="2"/>
        </w:numPr>
        <w:rPr>
          <w:lang w:val="en-IN"/>
        </w:rPr>
      </w:pPr>
      <w:r w:rsidRPr="000E19DE">
        <w:rPr>
          <w:b/>
          <w:bCs/>
          <w:lang w:val="en-IN"/>
        </w:rPr>
        <w:t>Source:</w:t>
      </w:r>
      <w:r w:rsidRPr="000E19DE">
        <w:rPr>
          <w:lang w:val="en-IN"/>
        </w:rPr>
        <w:t> The Economist, study published in 1975, OECD data.</w:t>
      </w:r>
    </w:p>
    <w:p w14:paraId="33F87BC8" w14:textId="77777777" w:rsidR="000E19DE" w:rsidRPr="000E19DE" w:rsidRDefault="000E19DE" w:rsidP="000E19DE">
      <w:pPr>
        <w:rPr>
          <w:lang w:val="en-IN"/>
        </w:rPr>
      </w:pPr>
      <w:r w:rsidRPr="000E19DE">
        <w:rPr>
          <w:b/>
          <w:bCs/>
          <w:lang w:val="en-IN"/>
        </w:rPr>
        <w:t>2. Distorting price signals:</w:t>
      </w:r>
    </w:p>
    <w:p w14:paraId="5EB1883D" w14:textId="77777777" w:rsidR="000E19DE" w:rsidRPr="000E19DE" w:rsidRDefault="000E19DE" w:rsidP="000E19DE">
      <w:pPr>
        <w:numPr>
          <w:ilvl w:val="0"/>
          <w:numId w:val="3"/>
        </w:numPr>
        <w:rPr>
          <w:lang w:val="en-IN"/>
        </w:rPr>
      </w:pPr>
      <w:r w:rsidRPr="000E19DE">
        <w:rPr>
          <w:b/>
          <w:bCs/>
          <w:lang w:val="en-IN"/>
        </w:rPr>
        <w:t>Evidence:</w:t>
      </w:r>
      <w:r w:rsidRPr="000E19DE">
        <w:rPr>
          <w:lang w:val="en-IN"/>
        </w:rPr>
        <w:t> A 2018 paper by Emi Nakamura et al. found no evidence that price movements deviated more from optimal levels during the high-inflation 1970s compared to the pre-pandemic low-inflation period.</w:t>
      </w:r>
    </w:p>
    <w:p w14:paraId="5BC46B2B" w14:textId="77777777" w:rsidR="000E19DE" w:rsidRPr="000E19DE" w:rsidRDefault="000E19DE" w:rsidP="000E19DE">
      <w:pPr>
        <w:numPr>
          <w:ilvl w:val="0"/>
          <w:numId w:val="3"/>
        </w:numPr>
        <w:rPr>
          <w:lang w:val="en-IN"/>
        </w:rPr>
      </w:pPr>
      <w:r w:rsidRPr="000E19DE">
        <w:rPr>
          <w:b/>
          <w:bCs/>
          <w:lang w:val="en-IN"/>
        </w:rPr>
        <w:t>Source:</w:t>
      </w:r>
      <w:r w:rsidRPr="000E19DE">
        <w:rPr>
          <w:lang w:val="en-IN"/>
        </w:rPr>
        <w:t> Paper by Emi Nakamura et al. published in 2018.</w:t>
      </w:r>
    </w:p>
    <w:p w14:paraId="195036C0" w14:textId="77777777" w:rsidR="000E19DE" w:rsidRPr="000E19DE" w:rsidRDefault="000E19DE" w:rsidP="000E19DE">
      <w:pPr>
        <w:rPr>
          <w:lang w:val="en-IN"/>
        </w:rPr>
      </w:pPr>
      <w:r w:rsidRPr="000E19DE">
        <w:rPr>
          <w:lang w:val="en-IN"/>
        </w:rPr>
        <w:t>The article additionally mentions broader research suggesting minimal costs associated with single-digit inflation, including:</w:t>
      </w:r>
    </w:p>
    <w:p w14:paraId="35512D55" w14:textId="77777777" w:rsidR="000E19DE" w:rsidRPr="000E19DE" w:rsidRDefault="000E19DE" w:rsidP="000E19DE">
      <w:pPr>
        <w:numPr>
          <w:ilvl w:val="0"/>
          <w:numId w:val="4"/>
        </w:numPr>
        <w:rPr>
          <w:lang w:val="en-IN"/>
        </w:rPr>
      </w:pPr>
      <w:r w:rsidRPr="000E19DE">
        <w:rPr>
          <w:b/>
          <w:bCs/>
          <w:lang w:val="en-IN"/>
        </w:rPr>
        <w:t>2014 IMF paper:</w:t>
      </w:r>
      <w:r w:rsidRPr="000E19DE">
        <w:rPr>
          <w:lang w:val="en-IN"/>
        </w:rPr>
        <w:t> "few empirical studies have even tried to find costs of single-digit inflation."</w:t>
      </w:r>
    </w:p>
    <w:p w14:paraId="4B0A0FAD" w14:textId="238F93F8" w:rsidR="000E19DE" w:rsidRPr="000E19DE" w:rsidRDefault="000E19DE" w:rsidP="000E19DE">
      <w:pPr>
        <w:numPr>
          <w:ilvl w:val="0"/>
          <w:numId w:val="4"/>
        </w:numPr>
        <w:rPr>
          <w:lang w:val="en-IN"/>
        </w:rPr>
      </w:pPr>
      <w:r w:rsidRPr="000E19DE">
        <w:rPr>
          <w:b/>
          <w:bCs/>
          <w:lang w:val="en-IN"/>
        </w:rPr>
        <w:t>1996 study by Michael Bruno and William Easterly:</w:t>
      </w:r>
      <w:r w:rsidRPr="000E19DE">
        <w:rPr>
          <w:lang w:val="en-IN"/>
        </w:rPr>
        <w:t> "no evidence of any relationship between inflation and growth at annual inflation rates less than 40%".</w:t>
      </w:r>
      <w:r>
        <w:rPr>
          <w:lang w:val="en-IN"/>
        </w:rPr>
        <w:br/>
      </w:r>
    </w:p>
    <w:p w14:paraId="57AC0AF8" w14:textId="77777777" w:rsidR="000E19DE" w:rsidRDefault="00F0033F">
      <w:r>
        <w:t>At the end of the article, the author made two (opposite) policy suggestions. Which one do you prefer?</w:t>
      </w:r>
      <w:r w:rsidR="00FA57AB">
        <w:t xml:space="preserve"> </w:t>
      </w:r>
      <w:r w:rsidR="0091308B">
        <w:t>Briefly e</w:t>
      </w:r>
      <w:r w:rsidR="00FA57AB">
        <w:t>xplain.</w:t>
      </w:r>
    </w:p>
    <w:p w14:paraId="25CCA0FB" w14:textId="77777777" w:rsidR="000E19DE" w:rsidRPr="000E19DE" w:rsidRDefault="000E19DE" w:rsidP="000E19DE">
      <w:pPr>
        <w:numPr>
          <w:ilvl w:val="0"/>
          <w:numId w:val="5"/>
        </w:numPr>
        <w:rPr>
          <w:lang w:val="en-IN"/>
        </w:rPr>
      </w:pPr>
      <w:r w:rsidRPr="000E19DE">
        <w:rPr>
          <w:b/>
          <w:bCs/>
          <w:lang w:val="en-IN"/>
        </w:rPr>
        <w:t>Ignore the views of ordinary people and focus solely on economic research findings.</w:t>
      </w:r>
      <w:r w:rsidRPr="000E19DE">
        <w:rPr>
          <w:lang w:val="en-IN"/>
        </w:rPr>
        <w:t> This approach suggests that since research finds minimal economic costs from moderate inflation, policymakers should prioritize these findings over public opinion.</w:t>
      </w:r>
    </w:p>
    <w:p w14:paraId="364872D5" w14:textId="77777777" w:rsidR="000E19DE" w:rsidRPr="000E19DE" w:rsidRDefault="000E19DE" w:rsidP="000E19DE">
      <w:pPr>
        <w:numPr>
          <w:ilvl w:val="0"/>
          <w:numId w:val="5"/>
        </w:numPr>
        <w:rPr>
          <w:lang w:val="en-IN"/>
        </w:rPr>
      </w:pPr>
      <w:proofErr w:type="gramStart"/>
      <w:r w:rsidRPr="000E19DE">
        <w:rPr>
          <w:b/>
          <w:bCs/>
          <w:lang w:val="en-IN"/>
        </w:rPr>
        <w:t>Take into account</w:t>
      </w:r>
      <w:proofErr w:type="gramEnd"/>
      <w:r w:rsidRPr="000E19DE">
        <w:rPr>
          <w:b/>
          <w:bCs/>
          <w:lang w:val="en-IN"/>
        </w:rPr>
        <w:t xml:space="preserve"> the psychological costs of inflation, even if economic research suggests minimal costs.</w:t>
      </w:r>
      <w:r w:rsidRPr="000E19DE">
        <w:rPr>
          <w:lang w:val="en-IN"/>
        </w:rPr>
        <w:t> This approach acknowledges that even if the economic impact of moderate inflation might be manageable, the public's negative perception and concerns about inflation are real and should be considered when making policy decisions.</w:t>
      </w:r>
    </w:p>
    <w:p w14:paraId="146A3152" w14:textId="77777777" w:rsidR="000E19DE" w:rsidRPr="000E19DE" w:rsidRDefault="000E19DE" w:rsidP="000E19DE">
      <w:pPr>
        <w:rPr>
          <w:lang w:val="en-IN"/>
        </w:rPr>
      </w:pPr>
      <w:r w:rsidRPr="000E19DE">
        <w:rPr>
          <w:lang w:val="en-IN"/>
        </w:rPr>
        <w:t>While the article presents economic research suggesting minimal negative impacts from moderate inflation, it also acknowledges the significant psychological costs and societal anxieties associated with it. People often fear inflation makes them poorer, hinders planning, and is a sign of unfair business practices.</w:t>
      </w:r>
    </w:p>
    <w:p w14:paraId="5E6D8A0D" w14:textId="61F9980F" w:rsidR="00BC6AD3" w:rsidRPr="000E19DE" w:rsidRDefault="000E19DE">
      <w:pPr>
        <w:rPr>
          <w:lang w:val="en-IN"/>
        </w:rPr>
      </w:pPr>
      <w:r w:rsidRPr="000E19DE">
        <w:rPr>
          <w:lang w:val="en-IN"/>
        </w:rPr>
        <w:t xml:space="preserve">Considering the potential benefits of taking these psychological costs into account, I would </w:t>
      </w:r>
      <w:proofErr w:type="spellStart"/>
      <w:r w:rsidRPr="000E19DE">
        <w:rPr>
          <w:lang w:val="en-IN"/>
        </w:rPr>
        <w:t>favor</w:t>
      </w:r>
      <w:proofErr w:type="spellEnd"/>
      <w:r w:rsidRPr="000E19DE">
        <w:rPr>
          <w:lang w:val="en-IN"/>
        </w:rPr>
        <w:t xml:space="preserve"> the </w:t>
      </w:r>
      <w:r w:rsidRPr="000E19DE">
        <w:rPr>
          <w:b/>
          <w:bCs/>
          <w:lang w:val="en-IN"/>
        </w:rPr>
        <w:t>second policy suggestion</w:t>
      </w:r>
      <w:r w:rsidRPr="000E19DE">
        <w:rPr>
          <w:lang w:val="en-IN"/>
        </w:rPr>
        <w:t>. This approach acknowledges the expertise of economists while recognizing the importance of addressing public concerns, potentially leading to more socially acceptable and effective policy decisions.</w:t>
      </w:r>
      <w:r>
        <w:rPr>
          <w:lang w:val="en-IN"/>
        </w:rPr>
        <w:t xml:space="preserve"> However, I would also like to mention that neither of the policies are ideal, rather a balance of both must be struck to achieve optimal conditions for the economy but in the real world that is rather difficult if not close to impossible.</w:t>
      </w:r>
    </w:p>
    <w:sectPr w:rsidR="00BC6AD3" w:rsidRPr="000E19DE" w:rsidSect="00E570B7">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0DB04" w14:textId="77777777" w:rsidR="00E570B7" w:rsidRDefault="00E570B7" w:rsidP="00664CFB">
      <w:pPr>
        <w:spacing w:after="0" w:line="240" w:lineRule="auto"/>
      </w:pPr>
      <w:r>
        <w:separator/>
      </w:r>
    </w:p>
  </w:endnote>
  <w:endnote w:type="continuationSeparator" w:id="0">
    <w:p w14:paraId="6E1FEC26" w14:textId="77777777" w:rsidR="00E570B7" w:rsidRDefault="00E570B7" w:rsidP="00664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A532C" w14:textId="77777777" w:rsidR="00E570B7" w:rsidRDefault="00E570B7" w:rsidP="00664CFB">
      <w:pPr>
        <w:spacing w:after="0" w:line="240" w:lineRule="auto"/>
      </w:pPr>
      <w:r>
        <w:separator/>
      </w:r>
    </w:p>
  </w:footnote>
  <w:footnote w:type="continuationSeparator" w:id="0">
    <w:p w14:paraId="77DC1330" w14:textId="77777777" w:rsidR="00E570B7" w:rsidRDefault="00E570B7" w:rsidP="00664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F8B02" w14:textId="6E6F85A8" w:rsidR="00664CFB" w:rsidRDefault="00664CFB">
    <w:pPr>
      <w:pStyle w:val="Header"/>
    </w:pPr>
    <w:r>
      <w:t>Lab 4</w:t>
    </w:r>
  </w:p>
  <w:p w14:paraId="47676A9A" w14:textId="7AC5F3CA" w:rsidR="00664CFB" w:rsidRDefault="00664CFB">
    <w:pPr>
      <w:pStyle w:val="Header"/>
    </w:pPr>
    <w:r>
      <w:t>Econ 104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B4782"/>
    <w:multiLevelType w:val="multilevel"/>
    <w:tmpl w:val="11DE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15799"/>
    <w:multiLevelType w:val="multilevel"/>
    <w:tmpl w:val="8E3C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76073"/>
    <w:multiLevelType w:val="multilevel"/>
    <w:tmpl w:val="D604E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235977"/>
    <w:multiLevelType w:val="multilevel"/>
    <w:tmpl w:val="C564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92CBE"/>
    <w:multiLevelType w:val="multilevel"/>
    <w:tmpl w:val="551E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617309">
    <w:abstractNumId w:val="1"/>
  </w:num>
  <w:num w:numId="2" w16cid:durableId="1255241077">
    <w:abstractNumId w:val="0"/>
  </w:num>
  <w:num w:numId="3" w16cid:durableId="1808158797">
    <w:abstractNumId w:val="3"/>
  </w:num>
  <w:num w:numId="4" w16cid:durableId="1338507301">
    <w:abstractNumId w:val="4"/>
  </w:num>
  <w:num w:numId="5" w16cid:durableId="757599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EFD"/>
    <w:rsid w:val="00005FF3"/>
    <w:rsid w:val="00006C6D"/>
    <w:rsid w:val="00031593"/>
    <w:rsid w:val="00053179"/>
    <w:rsid w:val="00053940"/>
    <w:rsid w:val="000A5E66"/>
    <w:rsid w:val="000E19DE"/>
    <w:rsid w:val="001072AC"/>
    <w:rsid w:val="00174193"/>
    <w:rsid w:val="00195E62"/>
    <w:rsid w:val="001F2803"/>
    <w:rsid w:val="002B1EFD"/>
    <w:rsid w:val="002C6AE9"/>
    <w:rsid w:val="002F0873"/>
    <w:rsid w:val="00374057"/>
    <w:rsid w:val="003F4FAD"/>
    <w:rsid w:val="00402352"/>
    <w:rsid w:val="00415120"/>
    <w:rsid w:val="00421DA8"/>
    <w:rsid w:val="00457F86"/>
    <w:rsid w:val="004B0092"/>
    <w:rsid w:val="005103D8"/>
    <w:rsid w:val="00515B1E"/>
    <w:rsid w:val="00545458"/>
    <w:rsid w:val="00547215"/>
    <w:rsid w:val="00584FF3"/>
    <w:rsid w:val="005C5250"/>
    <w:rsid w:val="005E45C3"/>
    <w:rsid w:val="00613D28"/>
    <w:rsid w:val="0061781C"/>
    <w:rsid w:val="00664CFB"/>
    <w:rsid w:val="00674826"/>
    <w:rsid w:val="00697F77"/>
    <w:rsid w:val="006D5E6C"/>
    <w:rsid w:val="006E3653"/>
    <w:rsid w:val="0074191B"/>
    <w:rsid w:val="0075374E"/>
    <w:rsid w:val="00793757"/>
    <w:rsid w:val="007B30CC"/>
    <w:rsid w:val="00823F75"/>
    <w:rsid w:val="008341CE"/>
    <w:rsid w:val="008A018D"/>
    <w:rsid w:val="008F16D5"/>
    <w:rsid w:val="009129E8"/>
    <w:rsid w:val="0091308B"/>
    <w:rsid w:val="00922523"/>
    <w:rsid w:val="00983976"/>
    <w:rsid w:val="00990AB6"/>
    <w:rsid w:val="009B6A2D"/>
    <w:rsid w:val="009C4AE4"/>
    <w:rsid w:val="009E72F8"/>
    <w:rsid w:val="00A95548"/>
    <w:rsid w:val="00AA239E"/>
    <w:rsid w:val="00B26760"/>
    <w:rsid w:val="00B3566B"/>
    <w:rsid w:val="00B616A9"/>
    <w:rsid w:val="00B6371C"/>
    <w:rsid w:val="00B925C6"/>
    <w:rsid w:val="00B94CF2"/>
    <w:rsid w:val="00BA402E"/>
    <w:rsid w:val="00BB0893"/>
    <w:rsid w:val="00BC6AD3"/>
    <w:rsid w:val="00C435B7"/>
    <w:rsid w:val="00C845A7"/>
    <w:rsid w:val="00CB3241"/>
    <w:rsid w:val="00CE79B3"/>
    <w:rsid w:val="00D327F2"/>
    <w:rsid w:val="00D34A62"/>
    <w:rsid w:val="00D536D0"/>
    <w:rsid w:val="00D60E06"/>
    <w:rsid w:val="00D7478C"/>
    <w:rsid w:val="00DC17B6"/>
    <w:rsid w:val="00E231BF"/>
    <w:rsid w:val="00E570B7"/>
    <w:rsid w:val="00E86CE4"/>
    <w:rsid w:val="00EB5D1E"/>
    <w:rsid w:val="00EF6EB7"/>
    <w:rsid w:val="00F0033F"/>
    <w:rsid w:val="00F0172C"/>
    <w:rsid w:val="00F17C0E"/>
    <w:rsid w:val="00F43316"/>
    <w:rsid w:val="00F737B0"/>
    <w:rsid w:val="00FA57AB"/>
    <w:rsid w:val="00FB1BD1"/>
    <w:rsid w:val="00FE0F64"/>
    <w:rsid w:val="00FF63C8"/>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7876"/>
  <w15:chartTrackingRefBased/>
  <w15:docId w15:val="{8D565665-3B01-43F7-81D0-32999E1B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3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26760"/>
    <w:rPr>
      <w:sz w:val="16"/>
      <w:szCs w:val="16"/>
    </w:rPr>
  </w:style>
  <w:style w:type="paragraph" w:styleId="CommentText">
    <w:name w:val="annotation text"/>
    <w:basedOn w:val="Normal"/>
    <w:link w:val="CommentTextChar"/>
    <w:uiPriority w:val="99"/>
    <w:semiHidden/>
    <w:unhideWhenUsed/>
    <w:rsid w:val="00B26760"/>
    <w:pPr>
      <w:spacing w:line="240" w:lineRule="auto"/>
    </w:pPr>
    <w:rPr>
      <w:sz w:val="20"/>
      <w:szCs w:val="20"/>
    </w:rPr>
  </w:style>
  <w:style w:type="character" w:customStyle="1" w:styleId="CommentTextChar">
    <w:name w:val="Comment Text Char"/>
    <w:basedOn w:val="DefaultParagraphFont"/>
    <w:link w:val="CommentText"/>
    <w:uiPriority w:val="99"/>
    <w:semiHidden/>
    <w:rsid w:val="00B26760"/>
    <w:rPr>
      <w:sz w:val="20"/>
      <w:szCs w:val="20"/>
    </w:rPr>
  </w:style>
  <w:style w:type="paragraph" w:styleId="CommentSubject">
    <w:name w:val="annotation subject"/>
    <w:basedOn w:val="CommentText"/>
    <w:next w:val="CommentText"/>
    <w:link w:val="CommentSubjectChar"/>
    <w:uiPriority w:val="99"/>
    <w:semiHidden/>
    <w:unhideWhenUsed/>
    <w:rsid w:val="00B26760"/>
    <w:rPr>
      <w:b/>
      <w:bCs/>
    </w:rPr>
  </w:style>
  <w:style w:type="character" w:customStyle="1" w:styleId="CommentSubjectChar">
    <w:name w:val="Comment Subject Char"/>
    <w:basedOn w:val="CommentTextChar"/>
    <w:link w:val="CommentSubject"/>
    <w:uiPriority w:val="99"/>
    <w:semiHidden/>
    <w:rsid w:val="00B26760"/>
    <w:rPr>
      <w:b/>
      <w:bCs/>
      <w:sz w:val="20"/>
      <w:szCs w:val="20"/>
    </w:rPr>
  </w:style>
  <w:style w:type="paragraph" w:styleId="Revision">
    <w:name w:val="Revision"/>
    <w:hidden/>
    <w:uiPriority w:val="99"/>
    <w:semiHidden/>
    <w:rsid w:val="00B26760"/>
    <w:pPr>
      <w:spacing w:after="0" w:line="240" w:lineRule="auto"/>
    </w:pPr>
  </w:style>
  <w:style w:type="paragraph" w:styleId="Header">
    <w:name w:val="header"/>
    <w:basedOn w:val="Normal"/>
    <w:link w:val="HeaderChar"/>
    <w:uiPriority w:val="99"/>
    <w:unhideWhenUsed/>
    <w:rsid w:val="00664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CFB"/>
  </w:style>
  <w:style w:type="paragraph" w:styleId="Footer">
    <w:name w:val="footer"/>
    <w:basedOn w:val="Normal"/>
    <w:link w:val="FooterChar"/>
    <w:uiPriority w:val="99"/>
    <w:unhideWhenUsed/>
    <w:rsid w:val="00664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CFB"/>
  </w:style>
  <w:style w:type="character" w:styleId="Hyperlink">
    <w:name w:val="Hyperlink"/>
    <w:basedOn w:val="DefaultParagraphFont"/>
    <w:uiPriority w:val="99"/>
    <w:unhideWhenUsed/>
    <w:rsid w:val="000E19DE"/>
    <w:rPr>
      <w:color w:val="0563C1" w:themeColor="hyperlink"/>
      <w:u w:val="single"/>
    </w:rPr>
  </w:style>
  <w:style w:type="character" w:styleId="UnresolvedMention">
    <w:name w:val="Unresolved Mention"/>
    <w:basedOn w:val="DefaultParagraphFont"/>
    <w:uiPriority w:val="99"/>
    <w:semiHidden/>
    <w:unhideWhenUsed/>
    <w:rsid w:val="000E19DE"/>
    <w:rPr>
      <w:color w:val="605E5C"/>
      <w:shd w:val="clear" w:color="auto" w:fill="E1DFDD"/>
    </w:rPr>
  </w:style>
  <w:style w:type="character" w:styleId="FollowedHyperlink">
    <w:name w:val="FollowedHyperlink"/>
    <w:basedOn w:val="DefaultParagraphFont"/>
    <w:uiPriority w:val="99"/>
    <w:semiHidden/>
    <w:unhideWhenUsed/>
    <w:rsid w:val="000E19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9237">
      <w:bodyDiv w:val="1"/>
      <w:marLeft w:val="0"/>
      <w:marRight w:val="0"/>
      <w:marTop w:val="0"/>
      <w:marBottom w:val="0"/>
      <w:divBdr>
        <w:top w:val="none" w:sz="0" w:space="0" w:color="auto"/>
        <w:left w:val="none" w:sz="0" w:space="0" w:color="auto"/>
        <w:bottom w:val="none" w:sz="0" w:space="0" w:color="auto"/>
        <w:right w:val="none" w:sz="0" w:space="0" w:color="auto"/>
      </w:divBdr>
    </w:div>
    <w:div w:id="180359355">
      <w:bodyDiv w:val="1"/>
      <w:marLeft w:val="0"/>
      <w:marRight w:val="0"/>
      <w:marTop w:val="0"/>
      <w:marBottom w:val="0"/>
      <w:divBdr>
        <w:top w:val="none" w:sz="0" w:space="0" w:color="auto"/>
        <w:left w:val="none" w:sz="0" w:space="0" w:color="auto"/>
        <w:bottom w:val="none" w:sz="0" w:space="0" w:color="auto"/>
        <w:right w:val="none" w:sz="0" w:space="0" w:color="auto"/>
      </w:divBdr>
    </w:div>
    <w:div w:id="459811258">
      <w:bodyDiv w:val="1"/>
      <w:marLeft w:val="0"/>
      <w:marRight w:val="0"/>
      <w:marTop w:val="0"/>
      <w:marBottom w:val="0"/>
      <w:divBdr>
        <w:top w:val="none" w:sz="0" w:space="0" w:color="auto"/>
        <w:left w:val="none" w:sz="0" w:space="0" w:color="auto"/>
        <w:bottom w:val="none" w:sz="0" w:space="0" w:color="auto"/>
        <w:right w:val="none" w:sz="0" w:space="0" w:color="auto"/>
      </w:divBdr>
    </w:div>
    <w:div w:id="600261143">
      <w:bodyDiv w:val="1"/>
      <w:marLeft w:val="0"/>
      <w:marRight w:val="0"/>
      <w:marTop w:val="0"/>
      <w:marBottom w:val="0"/>
      <w:divBdr>
        <w:top w:val="none" w:sz="0" w:space="0" w:color="auto"/>
        <w:left w:val="none" w:sz="0" w:space="0" w:color="auto"/>
        <w:bottom w:val="none" w:sz="0" w:space="0" w:color="auto"/>
        <w:right w:val="none" w:sz="0" w:space="0" w:color="auto"/>
      </w:divBdr>
    </w:div>
    <w:div w:id="829830891">
      <w:bodyDiv w:val="1"/>
      <w:marLeft w:val="0"/>
      <w:marRight w:val="0"/>
      <w:marTop w:val="0"/>
      <w:marBottom w:val="0"/>
      <w:divBdr>
        <w:top w:val="none" w:sz="0" w:space="0" w:color="auto"/>
        <w:left w:val="none" w:sz="0" w:space="0" w:color="auto"/>
        <w:bottom w:val="none" w:sz="0" w:space="0" w:color="auto"/>
        <w:right w:val="none" w:sz="0" w:space="0" w:color="auto"/>
      </w:divBdr>
    </w:div>
    <w:div w:id="1032002755">
      <w:bodyDiv w:val="1"/>
      <w:marLeft w:val="0"/>
      <w:marRight w:val="0"/>
      <w:marTop w:val="0"/>
      <w:marBottom w:val="0"/>
      <w:divBdr>
        <w:top w:val="none" w:sz="0" w:space="0" w:color="auto"/>
        <w:left w:val="none" w:sz="0" w:space="0" w:color="auto"/>
        <w:bottom w:val="none" w:sz="0" w:space="0" w:color="auto"/>
        <w:right w:val="none" w:sz="0" w:space="0" w:color="auto"/>
      </w:divBdr>
    </w:div>
    <w:div w:id="1041318902">
      <w:bodyDiv w:val="1"/>
      <w:marLeft w:val="0"/>
      <w:marRight w:val="0"/>
      <w:marTop w:val="0"/>
      <w:marBottom w:val="0"/>
      <w:divBdr>
        <w:top w:val="none" w:sz="0" w:space="0" w:color="auto"/>
        <w:left w:val="none" w:sz="0" w:space="0" w:color="auto"/>
        <w:bottom w:val="none" w:sz="0" w:space="0" w:color="auto"/>
        <w:right w:val="none" w:sz="0" w:space="0" w:color="auto"/>
      </w:divBdr>
    </w:div>
    <w:div w:id="1245650966">
      <w:bodyDiv w:val="1"/>
      <w:marLeft w:val="0"/>
      <w:marRight w:val="0"/>
      <w:marTop w:val="0"/>
      <w:marBottom w:val="0"/>
      <w:divBdr>
        <w:top w:val="none" w:sz="0" w:space="0" w:color="auto"/>
        <w:left w:val="none" w:sz="0" w:space="0" w:color="auto"/>
        <w:bottom w:val="none" w:sz="0" w:space="0" w:color="auto"/>
        <w:right w:val="none" w:sz="0" w:space="0" w:color="auto"/>
      </w:divBdr>
    </w:div>
    <w:div w:id="1281837883">
      <w:bodyDiv w:val="1"/>
      <w:marLeft w:val="0"/>
      <w:marRight w:val="0"/>
      <w:marTop w:val="0"/>
      <w:marBottom w:val="0"/>
      <w:divBdr>
        <w:top w:val="none" w:sz="0" w:space="0" w:color="auto"/>
        <w:left w:val="none" w:sz="0" w:space="0" w:color="auto"/>
        <w:bottom w:val="none" w:sz="0" w:space="0" w:color="auto"/>
        <w:right w:val="none" w:sz="0" w:space="0" w:color="auto"/>
      </w:divBdr>
    </w:div>
    <w:div w:id="1434202281">
      <w:bodyDiv w:val="1"/>
      <w:marLeft w:val="0"/>
      <w:marRight w:val="0"/>
      <w:marTop w:val="0"/>
      <w:marBottom w:val="0"/>
      <w:divBdr>
        <w:top w:val="none" w:sz="0" w:space="0" w:color="auto"/>
        <w:left w:val="none" w:sz="0" w:space="0" w:color="auto"/>
        <w:bottom w:val="none" w:sz="0" w:space="0" w:color="auto"/>
        <w:right w:val="none" w:sz="0" w:space="0" w:color="auto"/>
      </w:divBdr>
    </w:div>
    <w:div w:id="166955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anuj\Documents\UVIC\ECON%20104\LAB-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Year over Year CPI</a:t>
            </a:r>
            <a:r>
              <a:rPr lang="en-US" baseline="0"/>
              <a:t> Inflation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'1810000601-noSymbol'!$E$1</c:f>
              <c:strCache>
                <c:ptCount val="1"/>
                <c:pt idx="0">
                  <c:v>All Items Inflation</c:v>
                </c:pt>
              </c:strCache>
            </c:strRef>
          </c:tx>
          <c:spPr>
            <a:ln w="28575" cap="rnd">
              <a:solidFill>
                <a:schemeClr val="accent1"/>
              </a:solidFill>
              <a:round/>
            </a:ln>
            <a:effectLst/>
          </c:spPr>
          <c:marker>
            <c:symbol val="none"/>
          </c:marker>
          <c:cat>
            <c:numRef>
              <c:f>'1810000601-noSymbol'!$A$14:$A$122</c:f>
              <c:numCache>
                <c:formatCode>mmm\-yy</c:formatCode>
                <c:ptCount val="109"/>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pt idx="61">
                  <c:v>43862</c:v>
                </c:pt>
                <c:pt idx="62">
                  <c:v>43891</c:v>
                </c:pt>
                <c:pt idx="63">
                  <c:v>43922</c:v>
                </c:pt>
                <c:pt idx="64">
                  <c:v>43952</c:v>
                </c:pt>
                <c:pt idx="65">
                  <c:v>43983</c:v>
                </c:pt>
                <c:pt idx="66">
                  <c:v>44013</c:v>
                </c:pt>
                <c:pt idx="67">
                  <c:v>44044</c:v>
                </c:pt>
                <c:pt idx="68">
                  <c:v>44075</c:v>
                </c:pt>
                <c:pt idx="69">
                  <c:v>44105</c:v>
                </c:pt>
                <c:pt idx="70">
                  <c:v>44136</c:v>
                </c:pt>
                <c:pt idx="71">
                  <c:v>44166</c:v>
                </c:pt>
                <c:pt idx="72">
                  <c:v>44197</c:v>
                </c:pt>
                <c:pt idx="73">
                  <c:v>44228</c:v>
                </c:pt>
                <c:pt idx="74">
                  <c:v>44256</c:v>
                </c:pt>
                <c:pt idx="75">
                  <c:v>44287</c:v>
                </c:pt>
                <c:pt idx="76">
                  <c:v>44317</c:v>
                </c:pt>
                <c:pt idx="77">
                  <c:v>44348</c:v>
                </c:pt>
                <c:pt idx="78">
                  <c:v>44378</c:v>
                </c:pt>
                <c:pt idx="79">
                  <c:v>44409</c:v>
                </c:pt>
                <c:pt idx="80">
                  <c:v>44440</c:v>
                </c:pt>
                <c:pt idx="81">
                  <c:v>44470</c:v>
                </c:pt>
                <c:pt idx="82">
                  <c:v>44501</c:v>
                </c:pt>
                <c:pt idx="83">
                  <c:v>44531</c:v>
                </c:pt>
                <c:pt idx="84">
                  <c:v>44562</c:v>
                </c:pt>
                <c:pt idx="85">
                  <c:v>44593</c:v>
                </c:pt>
                <c:pt idx="86">
                  <c:v>44621</c:v>
                </c:pt>
                <c:pt idx="87">
                  <c:v>44652</c:v>
                </c:pt>
                <c:pt idx="88">
                  <c:v>44682</c:v>
                </c:pt>
                <c:pt idx="89">
                  <c:v>44713</c:v>
                </c:pt>
                <c:pt idx="90">
                  <c:v>44743</c:v>
                </c:pt>
                <c:pt idx="91">
                  <c:v>44774</c:v>
                </c:pt>
                <c:pt idx="92">
                  <c:v>44805</c:v>
                </c:pt>
                <c:pt idx="93">
                  <c:v>44835</c:v>
                </c:pt>
                <c:pt idx="94">
                  <c:v>44866</c:v>
                </c:pt>
                <c:pt idx="95">
                  <c:v>44896</c:v>
                </c:pt>
                <c:pt idx="96">
                  <c:v>44927</c:v>
                </c:pt>
                <c:pt idx="97">
                  <c:v>44958</c:v>
                </c:pt>
                <c:pt idx="98">
                  <c:v>44986</c:v>
                </c:pt>
                <c:pt idx="99">
                  <c:v>45017</c:v>
                </c:pt>
                <c:pt idx="100">
                  <c:v>45047</c:v>
                </c:pt>
                <c:pt idx="101">
                  <c:v>45078</c:v>
                </c:pt>
                <c:pt idx="102">
                  <c:v>45108</c:v>
                </c:pt>
                <c:pt idx="103">
                  <c:v>45139</c:v>
                </c:pt>
                <c:pt idx="104">
                  <c:v>45170</c:v>
                </c:pt>
                <c:pt idx="105">
                  <c:v>45200</c:v>
                </c:pt>
                <c:pt idx="106">
                  <c:v>45231</c:v>
                </c:pt>
                <c:pt idx="107">
                  <c:v>45261</c:v>
                </c:pt>
                <c:pt idx="108">
                  <c:v>45292</c:v>
                </c:pt>
              </c:numCache>
              <c:extLst/>
            </c:numRef>
          </c:cat>
          <c:val>
            <c:numRef>
              <c:f>'1810000601-noSymbol'!$E$14:$E$122</c:f>
              <c:numCache>
                <c:formatCode>0.00%</c:formatCode>
                <c:ptCount val="109"/>
                <c:pt idx="0">
                  <c:v>9.6852300242129836E-3</c:v>
                </c:pt>
                <c:pt idx="1">
                  <c:v>9.6540627514079078E-3</c:v>
                </c:pt>
                <c:pt idx="2">
                  <c:v>1.2851405622489914E-2</c:v>
                </c:pt>
                <c:pt idx="3">
                  <c:v>6.3999999999999769E-3</c:v>
                </c:pt>
                <c:pt idx="4">
                  <c:v>9.5923261390887526E-3</c:v>
                </c:pt>
                <c:pt idx="5">
                  <c:v>1.1164274322168991E-2</c:v>
                </c:pt>
                <c:pt idx="6">
                  <c:v>1.3556618819776623E-2</c:v>
                </c:pt>
                <c:pt idx="7">
                  <c:v>1.27490039840637E-2</c:v>
                </c:pt>
                <c:pt idx="8">
                  <c:v>1.0342084327764496E-2</c:v>
                </c:pt>
                <c:pt idx="9">
                  <c:v>1.0325655281969794E-2</c:v>
                </c:pt>
                <c:pt idx="10">
                  <c:v>1.2728719172633208E-2</c:v>
                </c:pt>
                <c:pt idx="11">
                  <c:v>1.5139442231075743E-2</c:v>
                </c:pt>
                <c:pt idx="12">
                  <c:v>1.9184652278177505E-2</c:v>
                </c:pt>
                <c:pt idx="13">
                  <c:v>1.4342629482071691E-2</c:v>
                </c:pt>
                <c:pt idx="14">
                  <c:v>1.2688342585249869E-2</c:v>
                </c:pt>
                <c:pt idx="15">
                  <c:v>1.6693163751987348E-2</c:v>
                </c:pt>
                <c:pt idx="16">
                  <c:v>1.5835312747426875E-2</c:v>
                </c:pt>
                <c:pt idx="17">
                  <c:v>1.4195583596214489E-2</c:v>
                </c:pt>
                <c:pt idx="18">
                  <c:v>1.1014948859166056E-2</c:v>
                </c:pt>
                <c:pt idx="19">
                  <c:v>1.1801730920535013E-2</c:v>
                </c:pt>
                <c:pt idx="20">
                  <c:v>1.4173228346456783E-2</c:v>
                </c:pt>
                <c:pt idx="21">
                  <c:v>1.4937106918238926E-2</c:v>
                </c:pt>
                <c:pt idx="22">
                  <c:v>1.2568735271013421E-2</c:v>
                </c:pt>
                <c:pt idx="23">
                  <c:v>1.4913657770800672E-2</c:v>
                </c:pt>
                <c:pt idx="24">
                  <c:v>2.0392156862745054E-2</c:v>
                </c:pt>
                <c:pt idx="25">
                  <c:v>2.0424194815396767E-2</c:v>
                </c:pt>
                <c:pt idx="26">
                  <c:v>1.5661707126076632E-2</c:v>
                </c:pt>
                <c:pt idx="27">
                  <c:v>1.7200938232994439E-2</c:v>
                </c:pt>
                <c:pt idx="28">
                  <c:v>1.2470771628994499E-2</c:v>
                </c:pt>
                <c:pt idx="29">
                  <c:v>1.0108864696734148E-2</c:v>
                </c:pt>
                <c:pt idx="30">
                  <c:v>1.2451361867704236E-2</c:v>
                </c:pt>
                <c:pt idx="31">
                  <c:v>1.3996889580093402E-2</c:v>
                </c:pt>
                <c:pt idx="32">
                  <c:v>1.4751552795030877E-2</c:v>
                </c:pt>
                <c:pt idx="33">
                  <c:v>1.394268009295129E-2</c:v>
                </c:pt>
                <c:pt idx="34">
                  <c:v>2.172226532195487E-2</c:v>
                </c:pt>
                <c:pt idx="35">
                  <c:v>1.933488012374323E-2</c:v>
                </c:pt>
                <c:pt idx="36">
                  <c:v>1.6910069177555859E-2</c:v>
                </c:pt>
                <c:pt idx="37">
                  <c:v>2.0785219399538018E-2</c:v>
                </c:pt>
                <c:pt idx="38">
                  <c:v>2.3130300693909023E-2</c:v>
                </c:pt>
                <c:pt idx="39">
                  <c:v>2.0753266717909433E-2</c:v>
                </c:pt>
                <c:pt idx="40">
                  <c:v>2.3094688221709007E-2</c:v>
                </c:pt>
                <c:pt idx="41">
                  <c:v>2.4634334103156186E-2</c:v>
                </c:pt>
                <c:pt idx="42">
                  <c:v>2.7671022290545692E-2</c:v>
                </c:pt>
                <c:pt idx="43">
                  <c:v>2.684049079754601E-2</c:v>
                </c:pt>
                <c:pt idx="44">
                  <c:v>2.3718439173680359E-2</c:v>
                </c:pt>
                <c:pt idx="45">
                  <c:v>2.5210084033613314E-2</c:v>
                </c:pt>
                <c:pt idx="46">
                  <c:v>1.7463933181473133E-2</c:v>
                </c:pt>
                <c:pt idx="47">
                  <c:v>1.8968133535660091E-2</c:v>
                </c:pt>
                <c:pt idx="48">
                  <c:v>1.511715797430083E-2</c:v>
                </c:pt>
                <c:pt idx="49">
                  <c:v>1.5837104072398148E-2</c:v>
                </c:pt>
                <c:pt idx="50">
                  <c:v>1.8839487565938208E-2</c:v>
                </c:pt>
                <c:pt idx="51">
                  <c:v>2.108433734939746E-2</c:v>
                </c:pt>
                <c:pt idx="52">
                  <c:v>2.3325808878856238E-2</c:v>
                </c:pt>
                <c:pt idx="53">
                  <c:v>2.1036814425244264E-2</c:v>
                </c:pt>
                <c:pt idx="54">
                  <c:v>2.0194465220643359E-2</c:v>
                </c:pt>
                <c:pt idx="55">
                  <c:v>1.8670649738610903E-2</c:v>
                </c:pt>
                <c:pt idx="56">
                  <c:v>1.8684603886397606E-2</c:v>
                </c:pt>
                <c:pt idx="57">
                  <c:v>1.8628912071535025E-2</c:v>
                </c:pt>
                <c:pt idx="58">
                  <c:v>2.0895522388059785E-2</c:v>
                </c:pt>
                <c:pt idx="59">
                  <c:v>2.2338049143708114E-2</c:v>
                </c:pt>
                <c:pt idx="60">
                  <c:v>2.3827252419955237E-2</c:v>
                </c:pt>
                <c:pt idx="61">
                  <c:v>2.2271714922049001E-2</c:v>
                </c:pt>
                <c:pt idx="62">
                  <c:v>8.1360946745563812E-3</c:v>
                </c:pt>
                <c:pt idx="63">
                  <c:v>0</c:v>
                </c:pt>
                <c:pt idx="64">
                  <c:v>-4.4117647058823112E-3</c:v>
                </c:pt>
                <c:pt idx="65">
                  <c:v>4.4150110375275522E-3</c:v>
                </c:pt>
                <c:pt idx="66">
                  <c:v>7.3313782991198172E-4</c:v>
                </c:pt>
                <c:pt idx="67">
                  <c:v>2.9325513196481355E-3</c:v>
                </c:pt>
                <c:pt idx="68">
                  <c:v>5.8694057226704541E-3</c:v>
                </c:pt>
                <c:pt idx="69">
                  <c:v>5.8522311631310272E-3</c:v>
                </c:pt>
                <c:pt idx="70">
                  <c:v>8.7719298245613198E-3</c:v>
                </c:pt>
                <c:pt idx="71">
                  <c:v>8.7399854333575274E-3</c:v>
                </c:pt>
                <c:pt idx="72">
                  <c:v>1.1636363636363596E-2</c:v>
                </c:pt>
                <c:pt idx="73">
                  <c:v>1.2345679012345803E-2</c:v>
                </c:pt>
                <c:pt idx="74">
                  <c:v>2.3477622890682233E-2</c:v>
                </c:pt>
                <c:pt idx="75">
                  <c:v>3.1710914454277372E-2</c:v>
                </c:pt>
                <c:pt idx="76">
                  <c:v>3.6189069423929139E-2</c:v>
                </c:pt>
                <c:pt idx="77">
                  <c:v>3.0769230769230688E-2</c:v>
                </c:pt>
                <c:pt idx="78">
                  <c:v>3.5897435897435936E-2</c:v>
                </c:pt>
                <c:pt idx="79">
                  <c:v>4.0204678362573097E-2</c:v>
                </c:pt>
                <c:pt idx="80">
                  <c:v>4.3763676148796497E-2</c:v>
                </c:pt>
                <c:pt idx="81">
                  <c:v>4.6545454545454584E-2</c:v>
                </c:pt>
                <c:pt idx="82">
                  <c:v>4.710144927536232E-2</c:v>
                </c:pt>
                <c:pt idx="83">
                  <c:v>4.8375451263537823E-2</c:v>
                </c:pt>
                <c:pt idx="84">
                  <c:v>5.1761322789360298E-2</c:v>
                </c:pt>
                <c:pt idx="85">
                  <c:v>5.6671449067431892E-2</c:v>
                </c:pt>
                <c:pt idx="86">
                  <c:v>6.7383512544802904E-2</c:v>
                </c:pt>
                <c:pt idx="87">
                  <c:v>6.7905646890636162E-2</c:v>
                </c:pt>
                <c:pt idx="88">
                  <c:v>7.7690662865288501E-2</c:v>
                </c:pt>
                <c:pt idx="89">
                  <c:v>8.102345415778256E-2</c:v>
                </c:pt>
                <c:pt idx="90">
                  <c:v>7.7086280056577125E-2</c:v>
                </c:pt>
                <c:pt idx="91">
                  <c:v>6.9571328179901457E-2</c:v>
                </c:pt>
                <c:pt idx="92">
                  <c:v>6.7784765897973567E-2</c:v>
                </c:pt>
                <c:pt idx="93">
                  <c:v>6.879777623349552E-2</c:v>
                </c:pt>
                <c:pt idx="94">
                  <c:v>6.7820069204152331E-2</c:v>
                </c:pt>
                <c:pt idx="95">
                  <c:v>6.2672176308540106E-2</c:v>
                </c:pt>
                <c:pt idx="96">
                  <c:v>5.8783321941216632E-2</c:v>
                </c:pt>
                <c:pt idx="97">
                  <c:v>5.2953156822810474E-2</c:v>
                </c:pt>
                <c:pt idx="98">
                  <c:v>4.3653458697112152E-2</c:v>
                </c:pt>
                <c:pt idx="99">
                  <c:v>4.4176706827309196E-2</c:v>
                </c:pt>
                <c:pt idx="100">
                  <c:v>3.3068783068783074E-2</c:v>
                </c:pt>
                <c:pt idx="101">
                  <c:v>2.8270874424720656E-2</c:v>
                </c:pt>
                <c:pt idx="102">
                  <c:v>3.2829940906106365E-2</c:v>
                </c:pt>
                <c:pt idx="103">
                  <c:v>4.0078843626806984E-2</c:v>
                </c:pt>
                <c:pt idx="104">
                  <c:v>3.7958115183245961E-2</c:v>
                </c:pt>
                <c:pt idx="105">
                  <c:v>3.1209362808842539E-2</c:v>
                </c:pt>
                <c:pt idx="106">
                  <c:v>3.0460142579390722E-2</c:v>
                </c:pt>
                <c:pt idx="107">
                  <c:v>3.3700583279325909E-2</c:v>
                </c:pt>
                <c:pt idx="108">
                  <c:v>2.8405422853453877E-2</c:v>
                </c:pt>
              </c:numCache>
              <c:extLst/>
            </c:numRef>
          </c:val>
          <c:smooth val="0"/>
          <c:extLst>
            <c:ext xmlns:c16="http://schemas.microsoft.com/office/drawing/2014/chart" uri="{C3380CC4-5D6E-409C-BE32-E72D297353CC}">
              <c16:uniqueId val="{00000000-F8E2-40D4-86C3-63224C191834}"/>
            </c:ext>
          </c:extLst>
        </c:ser>
        <c:ser>
          <c:idx val="1"/>
          <c:order val="1"/>
          <c:tx>
            <c:strRef>
              <c:f>'1810000601-noSymbol'!$F$1</c:f>
              <c:strCache>
                <c:ptCount val="1"/>
                <c:pt idx="0">
                  <c:v>Transportation Inflation</c:v>
                </c:pt>
              </c:strCache>
            </c:strRef>
          </c:tx>
          <c:spPr>
            <a:ln w="28575" cap="rnd">
              <a:solidFill>
                <a:schemeClr val="accent2"/>
              </a:solidFill>
              <a:round/>
            </a:ln>
            <a:effectLst/>
          </c:spPr>
          <c:marker>
            <c:symbol val="none"/>
          </c:marker>
          <c:cat>
            <c:numRef>
              <c:f>'1810000601-noSymbol'!$A$14:$A$122</c:f>
              <c:numCache>
                <c:formatCode>mmm\-yy</c:formatCode>
                <c:ptCount val="109"/>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pt idx="61">
                  <c:v>43862</c:v>
                </c:pt>
                <c:pt idx="62">
                  <c:v>43891</c:v>
                </c:pt>
                <c:pt idx="63">
                  <c:v>43922</c:v>
                </c:pt>
                <c:pt idx="64">
                  <c:v>43952</c:v>
                </c:pt>
                <c:pt idx="65">
                  <c:v>43983</c:v>
                </c:pt>
                <c:pt idx="66">
                  <c:v>44013</c:v>
                </c:pt>
                <c:pt idx="67">
                  <c:v>44044</c:v>
                </c:pt>
                <c:pt idx="68">
                  <c:v>44075</c:v>
                </c:pt>
                <c:pt idx="69">
                  <c:v>44105</c:v>
                </c:pt>
                <c:pt idx="70">
                  <c:v>44136</c:v>
                </c:pt>
                <c:pt idx="71">
                  <c:v>44166</c:v>
                </c:pt>
                <c:pt idx="72">
                  <c:v>44197</c:v>
                </c:pt>
                <c:pt idx="73">
                  <c:v>44228</c:v>
                </c:pt>
                <c:pt idx="74">
                  <c:v>44256</c:v>
                </c:pt>
                <c:pt idx="75">
                  <c:v>44287</c:v>
                </c:pt>
                <c:pt idx="76">
                  <c:v>44317</c:v>
                </c:pt>
                <c:pt idx="77">
                  <c:v>44348</c:v>
                </c:pt>
                <c:pt idx="78">
                  <c:v>44378</c:v>
                </c:pt>
                <c:pt idx="79">
                  <c:v>44409</c:v>
                </c:pt>
                <c:pt idx="80">
                  <c:v>44440</c:v>
                </c:pt>
                <c:pt idx="81">
                  <c:v>44470</c:v>
                </c:pt>
                <c:pt idx="82">
                  <c:v>44501</c:v>
                </c:pt>
                <c:pt idx="83">
                  <c:v>44531</c:v>
                </c:pt>
                <c:pt idx="84">
                  <c:v>44562</c:v>
                </c:pt>
                <c:pt idx="85">
                  <c:v>44593</c:v>
                </c:pt>
                <c:pt idx="86">
                  <c:v>44621</c:v>
                </c:pt>
                <c:pt idx="87">
                  <c:v>44652</c:v>
                </c:pt>
                <c:pt idx="88">
                  <c:v>44682</c:v>
                </c:pt>
                <c:pt idx="89">
                  <c:v>44713</c:v>
                </c:pt>
                <c:pt idx="90">
                  <c:v>44743</c:v>
                </c:pt>
                <c:pt idx="91">
                  <c:v>44774</c:v>
                </c:pt>
                <c:pt idx="92">
                  <c:v>44805</c:v>
                </c:pt>
                <c:pt idx="93">
                  <c:v>44835</c:v>
                </c:pt>
                <c:pt idx="94">
                  <c:v>44866</c:v>
                </c:pt>
                <c:pt idx="95">
                  <c:v>44896</c:v>
                </c:pt>
                <c:pt idx="96">
                  <c:v>44927</c:v>
                </c:pt>
                <c:pt idx="97">
                  <c:v>44958</c:v>
                </c:pt>
                <c:pt idx="98">
                  <c:v>44986</c:v>
                </c:pt>
                <c:pt idx="99">
                  <c:v>45017</c:v>
                </c:pt>
                <c:pt idx="100">
                  <c:v>45047</c:v>
                </c:pt>
                <c:pt idx="101">
                  <c:v>45078</c:v>
                </c:pt>
                <c:pt idx="102">
                  <c:v>45108</c:v>
                </c:pt>
                <c:pt idx="103">
                  <c:v>45139</c:v>
                </c:pt>
                <c:pt idx="104">
                  <c:v>45170</c:v>
                </c:pt>
                <c:pt idx="105">
                  <c:v>45200</c:v>
                </c:pt>
                <c:pt idx="106">
                  <c:v>45231</c:v>
                </c:pt>
                <c:pt idx="107">
                  <c:v>45261</c:v>
                </c:pt>
                <c:pt idx="108">
                  <c:v>45292</c:v>
                </c:pt>
              </c:numCache>
              <c:extLst/>
            </c:numRef>
          </c:cat>
          <c:val>
            <c:numRef>
              <c:f>'1810000601-noSymbol'!$F$14:$F$122</c:f>
              <c:numCache>
                <c:formatCode>0.00%</c:formatCode>
                <c:ptCount val="109"/>
                <c:pt idx="0">
                  <c:v>-5.3763440860214951E-2</c:v>
                </c:pt>
                <c:pt idx="1">
                  <c:v>-5.0950570342205348E-2</c:v>
                </c:pt>
                <c:pt idx="2">
                  <c:v>-3.6613272311212794E-2</c:v>
                </c:pt>
                <c:pt idx="3">
                  <c:v>-4.3412033511043537E-2</c:v>
                </c:pt>
                <c:pt idx="4">
                  <c:v>-3.3587786259542028E-2</c:v>
                </c:pt>
                <c:pt idx="5">
                  <c:v>-2.2848438690022847E-2</c:v>
                </c:pt>
                <c:pt idx="6">
                  <c:v>-1.5302218821729153E-2</c:v>
                </c:pt>
                <c:pt idx="7">
                  <c:v>-2.1406727828746263E-2</c:v>
                </c:pt>
                <c:pt idx="8">
                  <c:v>-3.6070606293169737E-2</c:v>
                </c:pt>
                <c:pt idx="9">
                  <c:v>-3.2183908045977032E-2</c:v>
                </c:pt>
                <c:pt idx="10">
                  <c:v>-1.3996889580093291E-2</c:v>
                </c:pt>
                <c:pt idx="11">
                  <c:v>2.3659305993690627E-3</c:v>
                </c:pt>
                <c:pt idx="12">
                  <c:v>2.1915584415584437E-2</c:v>
                </c:pt>
                <c:pt idx="13">
                  <c:v>-1.6025641025641253E-3</c:v>
                </c:pt>
                <c:pt idx="14">
                  <c:v>-7.1258907363419754E-3</c:v>
                </c:pt>
                <c:pt idx="15">
                  <c:v>1.0350318471337671E-2</c:v>
                </c:pt>
                <c:pt idx="16">
                  <c:v>1.1058451816745701E-2</c:v>
                </c:pt>
                <c:pt idx="17">
                  <c:v>5.4559625876850239E-3</c:v>
                </c:pt>
                <c:pt idx="18">
                  <c:v>-3.8850038850038854E-3</c:v>
                </c:pt>
                <c:pt idx="19">
                  <c:v>2.3437500000000888E-3</c:v>
                </c:pt>
                <c:pt idx="20">
                  <c:v>2.7070063694267562E-2</c:v>
                </c:pt>
                <c:pt idx="21">
                  <c:v>3.0087094220110824E-2</c:v>
                </c:pt>
                <c:pt idx="22">
                  <c:v>1.6561514195583663E-2</c:v>
                </c:pt>
                <c:pt idx="23">
                  <c:v>2.8324154209283983E-2</c:v>
                </c:pt>
                <c:pt idx="24">
                  <c:v>6.0365369340746579E-2</c:v>
                </c:pt>
                <c:pt idx="25">
                  <c:v>6.6613162118780184E-2</c:v>
                </c:pt>
                <c:pt idx="26">
                  <c:v>4.784688995215311E-2</c:v>
                </c:pt>
                <c:pt idx="27">
                  <c:v>4.1765169424743759E-2</c:v>
                </c:pt>
                <c:pt idx="28">
                  <c:v>2.2656250000000044E-2</c:v>
                </c:pt>
                <c:pt idx="29">
                  <c:v>6.2015503875969876E-3</c:v>
                </c:pt>
                <c:pt idx="30">
                  <c:v>1.9500780031201249E-2</c:v>
                </c:pt>
                <c:pt idx="31">
                  <c:v>2.8838659392049791E-2</c:v>
                </c:pt>
                <c:pt idx="32">
                  <c:v>3.875968992248062E-2</c:v>
                </c:pt>
                <c:pt idx="33">
                  <c:v>2.9976940814757925E-2</c:v>
                </c:pt>
                <c:pt idx="34">
                  <c:v>5.8960434445306395E-2</c:v>
                </c:pt>
                <c:pt idx="35">
                  <c:v>4.7436878347360503E-2</c:v>
                </c:pt>
                <c:pt idx="36">
                  <c:v>2.9213483146067459E-2</c:v>
                </c:pt>
                <c:pt idx="37">
                  <c:v>4.2889390519187269E-2</c:v>
                </c:pt>
                <c:pt idx="38">
                  <c:v>5.2511415525114194E-2</c:v>
                </c:pt>
                <c:pt idx="39">
                  <c:v>4.3872919818456972E-2</c:v>
                </c:pt>
                <c:pt idx="40">
                  <c:v>5.5767761650114461E-2</c:v>
                </c:pt>
                <c:pt idx="41">
                  <c:v>7.1648690292757958E-2</c:v>
                </c:pt>
                <c:pt idx="42">
                  <c:v>7.1920428462127053E-2</c:v>
                </c:pt>
                <c:pt idx="43">
                  <c:v>6.3636363636363685E-2</c:v>
                </c:pt>
                <c:pt idx="44">
                  <c:v>4.3283582089552325E-2</c:v>
                </c:pt>
                <c:pt idx="45">
                  <c:v>4.7014925373134411E-2</c:v>
                </c:pt>
                <c:pt idx="46">
                  <c:v>1.6849816849816932E-2</c:v>
                </c:pt>
                <c:pt idx="47">
                  <c:v>1.2417823228633955E-2</c:v>
                </c:pt>
                <c:pt idx="48">
                  <c:v>2.9112081513828652E-3</c:v>
                </c:pt>
                <c:pt idx="49">
                  <c:v>3.6075036075036075E-3</c:v>
                </c:pt>
                <c:pt idx="50">
                  <c:v>1.8076644974692694E-2</c:v>
                </c:pt>
                <c:pt idx="51">
                  <c:v>2.3913043478260954E-2</c:v>
                </c:pt>
                <c:pt idx="52">
                  <c:v>3.0390738060781602E-2</c:v>
                </c:pt>
                <c:pt idx="53">
                  <c:v>1.7253774263120098E-2</c:v>
                </c:pt>
                <c:pt idx="54">
                  <c:v>1.5703069236259935E-2</c:v>
                </c:pt>
                <c:pt idx="55">
                  <c:v>1.4245014245014245E-2</c:v>
                </c:pt>
                <c:pt idx="56">
                  <c:v>1.3590844062946904E-2</c:v>
                </c:pt>
                <c:pt idx="57">
                  <c:v>1.3542409123307037E-2</c:v>
                </c:pt>
                <c:pt idx="58">
                  <c:v>2.8818443804034581E-2</c:v>
                </c:pt>
                <c:pt idx="59">
                  <c:v>3.9682539682539687E-2</c:v>
                </c:pt>
                <c:pt idx="60">
                  <c:v>5.2249637155297443E-2</c:v>
                </c:pt>
                <c:pt idx="61">
                  <c:v>4.1696621135873559E-2</c:v>
                </c:pt>
                <c:pt idx="62">
                  <c:v>-1.7755681818181816E-2</c:v>
                </c:pt>
                <c:pt idx="63">
                  <c:v>-3.6093418259023513E-2</c:v>
                </c:pt>
                <c:pt idx="64">
                  <c:v>-3.0196629213483223E-2</c:v>
                </c:pt>
                <c:pt idx="65">
                  <c:v>-7.7738515901059667E-3</c:v>
                </c:pt>
                <c:pt idx="66">
                  <c:v>-1.4757554462403531E-2</c:v>
                </c:pt>
                <c:pt idx="67">
                  <c:v>-1.2640449438202327E-2</c:v>
                </c:pt>
                <c:pt idx="68">
                  <c:v>7.0571630204673778E-4</c:v>
                </c:pt>
                <c:pt idx="69">
                  <c:v>-2.1097046413500911E-3</c:v>
                </c:pt>
                <c:pt idx="70">
                  <c:v>2.100840336134334E-3</c:v>
                </c:pt>
                <c:pt idx="71">
                  <c:v>5.5517002081888365E-3</c:v>
                </c:pt>
                <c:pt idx="72">
                  <c:v>1.2413793103448353E-2</c:v>
                </c:pt>
                <c:pt idx="73">
                  <c:v>2.3464458247066982E-2</c:v>
                </c:pt>
                <c:pt idx="74">
                  <c:v>7.3029645697758452E-2</c:v>
                </c:pt>
                <c:pt idx="75">
                  <c:v>9.6916299559471494E-2</c:v>
                </c:pt>
                <c:pt idx="76">
                  <c:v>7.6031860970311366E-2</c:v>
                </c:pt>
                <c:pt idx="77">
                  <c:v>5.7692307692307647E-2</c:v>
                </c:pt>
                <c:pt idx="78">
                  <c:v>6.633380884450793E-2</c:v>
                </c:pt>
                <c:pt idx="79">
                  <c:v>8.3926031294452433E-2</c:v>
                </c:pt>
                <c:pt idx="80">
                  <c:v>8.533145275035256E-2</c:v>
                </c:pt>
                <c:pt idx="81">
                  <c:v>9.5842142353770213E-2</c:v>
                </c:pt>
                <c:pt idx="82">
                  <c:v>9.5038434661076129E-2</c:v>
                </c:pt>
                <c:pt idx="83">
                  <c:v>8.8336783988957779E-2</c:v>
                </c:pt>
                <c:pt idx="84">
                  <c:v>8.5831062670299677E-2</c:v>
                </c:pt>
                <c:pt idx="85">
                  <c:v>9.1706001348617616E-2</c:v>
                </c:pt>
                <c:pt idx="86">
                  <c:v>0.11455525606469003</c:v>
                </c:pt>
                <c:pt idx="87">
                  <c:v>0.11244979919678703</c:v>
                </c:pt>
                <c:pt idx="88">
                  <c:v>0.14602960969044426</c:v>
                </c:pt>
                <c:pt idx="89">
                  <c:v>0.16835016835016836</c:v>
                </c:pt>
                <c:pt idx="90">
                  <c:v>0.14247491638795995</c:v>
                </c:pt>
                <c:pt idx="91">
                  <c:v>0.10236220472440941</c:v>
                </c:pt>
                <c:pt idx="92">
                  <c:v>8.5120207927225425E-2</c:v>
                </c:pt>
                <c:pt idx="93">
                  <c:v>9.2604501607717077E-2</c:v>
                </c:pt>
                <c:pt idx="94">
                  <c:v>8.3599234205488343E-2</c:v>
                </c:pt>
                <c:pt idx="95">
                  <c:v>6.0875079264426271E-2</c:v>
                </c:pt>
                <c:pt idx="96">
                  <c:v>5.6461731493099118E-2</c:v>
                </c:pt>
                <c:pt idx="97">
                  <c:v>3.4589252625077171E-2</c:v>
                </c:pt>
                <c:pt idx="98">
                  <c:v>6.0459492140266021E-3</c:v>
                </c:pt>
                <c:pt idx="99">
                  <c:v>1.143200962695551E-2</c:v>
                </c:pt>
                <c:pt idx="100">
                  <c:v>-2.3487962419260128E-2</c:v>
                </c:pt>
                <c:pt idx="101">
                  <c:v>-3.5158501440922155E-2</c:v>
                </c:pt>
                <c:pt idx="102">
                  <c:v>-1.1709601873536299E-2</c:v>
                </c:pt>
                <c:pt idx="103">
                  <c:v>1.9642857142857212E-2</c:v>
                </c:pt>
                <c:pt idx="104">
                  <c:v>2.9341317365269494E-2</c:v>
                </c:pt>
                <c:pt idx="105">
                  <c:v>-2.942907592701589E-3</c:v>
                </c:pt>
                <c:pt idx="106">
                  <c:v>-5.8892815076574045E-4</c:v>
                </c:pt>
                <c:pt idx="107">
                  <c:v>2.9886431560071727E-2</c:v>
                </c:pt>
                <c:pt idx="108">
                  <c:v>1.365795724465548E-2</c:v>
                </c:pt>
              </c:numCache>
              <c:extLst/>
            </c:numRef>
          </c:val>
          <c:smooth val="0"/>
          <c:extLst>
            <c:ext xmlns:c16="http://schemas.microsoft.com/office/drawing/2014/chart" uri="{C3380CC4-5D6E-409C-BE32-E72D297353CC}">
              <c16:uniqueId val="{00000001-F8E2-40D4-86C3-63224C191834}"/>
            </c:ext>
          </c:extLst>
        </c:ser>
        <c:dLbls>
          <c:showLegendKey val="0"/>
          <c:showVal val="0"/>
          <c:showCatName val="0"/>
          <c:showSerName val="0"/>
          <c:showPercent val="0"/>
          <c:showBubbleSize val="0"/>
        </c:dLbls>
        <c:smooth val="0"/>
        <c:axId val="1138028512"/>
        <c:axId val="1423549712"/>
      </c:lineChart>
      <c:dateAx>
        <c:axId val="1138028512"/>
        <c:scaling>
          <c:orientation val="minMax"/>
        </c:scaling>
        <c:delete val="0"/>
        <c:axPos val="b"/>
        <c:numFmt formatCode="mmm\-yy"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3549712"/>
        <c:crosses val="autoZero"/>
        <c:auto val="1"/>
        <c:lblOffset val="100"/>
        <c:baseTimeUnit val="months"/>
      </c:dateAx>
      <c:valAx>
        <c:axId val="14235497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8028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f98b12e-c240-4a68-a674-6e7d5eda601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539D65B2E8C449B3A9B03802E3E28C" ma:contentTypeVersion="14" ma:contentTypeDescription="Create a new document." ma:contentTypeScope="" ma:versionID="7572a0ce2205dec3eeee0cb73806563c">
  <xsd:schema xmlns:xsd="http://www.w3.org/2001/XMLSchema" xmlns:xs="http://www.w3.org/2001/XMLSchema" xmlns:p="http://schemas.microsoft.com/office/2006/metadata/properties" xmlns:ns3="eeb15de8-1119-4d6d-81ef-a8234ad73bce" xmlns:ns4="5f98b12e-c240-4a68-a674-6e7d5eda6015" targetNamespace="http://schemas.microsoft.com/office/2006/metadata/properties" ma:root="true" ma:fieldsID="730530f4b49e32997905a1560bbdcb18" ns3:_="" ns4:_="">
    <xsd:import namespace="eeb15de8-1119-4d6d-81ef-a8234ad73bce"/>
    <xsd:import namespace="5f98b12e-c240-4a68-a674-6e7d5eda60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b15de8-1119-4d6d-81ef-a8234ad73bc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98b12e-c240-4a68-a674-6e7d5eda60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A9A4E6-8ABB-47BB-ADC7-D6EAF0B42C00}">
  <ds:schemaRefs>
    <ds:schemaRef ds:uri="http://schemas.microsoft.com/sharepoint/v3/contenttype/forms"/>
  </ds:schemaRefs>
</ds:datastoreItem>
</file>

<file path=customXml/itemProps2.xml><?xml version="1.0" encoding="utf-8"?>
<ds:datastoreItem xmlns:ds="http://schemas.openxmlformats.org/officeDocument/2006/customXml" ds:itemID="{3FCF88C4-733F-46CE-BE09-114F9BD7EB4E}">
  <ds:schemaRefs>
    <ds:schemaRef ds:uri="http://schemas.microsoft.com/office/2006/metadata/properties"/>
    <ds:schemaRef ds:uri="http://schemas.microsoft.com/office/infopath/2007/PartnerControls"/>
    <ds:schemaRef ds:uri="5f98b12e-c240-4a68-a674-6e7d5eda6015"/>
  </ds:schemaRefs>
</ds:datastoreItem>
</file>

<file path=customXml/itemProps3.xml><?xml version="1.0" encoding="utf-8"?>
<ds:datastoreItem xmlns:ds="http://schemas.openxmlformats.org/officeDocument/2006/customXml" ds:itemID="{376614E5-466C-4746-BF9C-CE9AFD9D1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b15de8-1119-4d6d-81ef-a8234ad73bce"/>
    <ds:schemaRef ds:uri="5f98b12e-c240-4a68-a674-6e7d5eda60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Brooklynn Trimble</dc:creator>
  <cp:keywords/>
  <dc:description/>
  <cp:lastModifiedBy>Tanuj Dargan</cp:lastModifiedBy>
  <cp:revision>12</cp:revision>
  <dcterms:created xsi:type="dcterms:W3CDTF">2023-02-09T22:13:00Z</dcterms:created>
  <dcterms:modified xsi:type="dcterms:W3CDTF">2024-03-02T08:45:00Z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0x0101008C539D65B2E8C449B3A9B03802E3E28C</vt:lpwstr>
  </property>
</Properties>
</file>