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JAYPEE INSTITUTE OF INFORMATION TECHNOLOGY Sector - 62, Noida </w:t>
      </w:r>
    </w:p>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Department of CSE &amp; IT</w:t>
      </w:r>
    </w:p>
    <w:p>
      <w:pPr>
        <w:spacing w:before="128" w:after="0" w:line="360"/>
        <w:ind w:right="0" w:left="195" w:firstLine="0"/>
        <w:jc w:val="center"/>
        <w:rPr>
          <w:rFonts w:ascii="Times New Roman" w:hAnsi="Times New Roman" w:cs="Times New Roman" w:eastAsia="Times New Roman"/>
          <w:b/>
          <w:color w:val="292929"/>
          <w:spacing w:val="0"/>
          <w:position w:val="0"/>
          <w:sz w:val="24"/>
          <w:shd w:fill="auto" w:val="clear"/>
        </w:rPr>
      </w:pPr>
      <w:r>
        <w:object w:dxaOrig="4017" w:dyaOrig="4562">
          <v:rect xmlns:o="urn:schemas-microsoft-com:office:office" xmlns:v="urn:schemas-microsoft-com:vml" id="rectole0000000000" style="width:200.850000pt;height:22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292929"/>
          <w:spacing w:val="0"/>
          <w:position w:val="0"/>
          <w:sz w:val="24"/>
          <w:shd w:fill="auto" w:val="clear"/>
        </w:rPr>
        <w:t xml:space="preserve">                                         </w:t>
      </w:r>
    </w:p>
    <w:p>
      <w:pPr>
        <w:spacing w:before="128" w:after="0" w:line="360"/>
        <w:ind w:right="0" w:left="195" w:firstLine="0"/>
        <w:jc w:val="center"/>
        <w:rPr>
          <w:rFonts w:ascii="Times New Roman" w:hAnsi="Times New Roman" w:cs="Times New Roman" w:eastAsia="Times New Roman"/>
          <w:b/>
          <w:color w:val="292929"/>
          <w:spacing w:val="0"/>
          <w:position w:val="0"/>
          <w:sz w:val="24"/>
          <w:shd w:fill="auto" w:val="clear"/>
        </w:rPr>
      </w:pPr>
    </w:p>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POVERTY, INEQUALITY &amp; HUMAN DEVELOPMENT</w:t>
      </w:r>
    </w:p>
    <w:p>
      <w:pPr>
        <w:spacing w:before="0" w:after="0" w:line="360"/>
        <w:ind w:right="0" w:left="0"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                               Project Report</w:t>
      </w:r>
    </w:p>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State-Maharashtra</w:t>
      </w:r>
    </w:p>
    <w:p>
      <w:pPr>
        <w:spacing w:before="0" w:after="0" w:line="360"/>
        <w:ind w:right="0" w:left="0" w:firstLine="0"/>
        <w:jc w:val="center"/>
        <w:rPr>
          <w:rFonts w:ascii="Times New Roman" w:hAnsi="Times New Roman" w:cs="Times New Roman" w:eastAsia="Times New Roman"/>
          <w:b/>
          <w:color w:val="292929"/>
          <w:spacing w:val="0"/>
          <w:position w:val="0"/>
          <w:sz w:val="32"/>
          <w:shd w:fill="auto" w:val="clear"/>
        </w:rPr>
      </w:pPr>
    </w:p>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GROUP MEMBERS </w:t>
      </w:r>
    </w:p>
    <w:p>
      <w:pPr>
        <w:spacing w:before="0" w:after="0" w:line="360"/>
        <w:ind w:right="0" w:left="195" w:firstLine="0"/>
        <w:jc w:val="center"/>
        <w:rPr>
          <w:rFonts w:ascii="Times New Roman" w:hAnsi="Times New Roman" w:cs="Times New Roman" w:eastAsia="Times New Roman"/>
          <w:b/>
          <w:color w:val="292929"/>
          <w:spacing w:val="0"/>
          <w:position w:val="0"/>
          <w:sz w:val="32"/>
          <w:shd w:fill="auto" w:val="clear"/>
        </w:rPr>
      </w:pPr>
    </w:p>
    <w:tbl>
      <w:tblPr>
        <w:tblInd w:w="305" w:type="dxa"/>
      </w:tblPr>
      <w:tblGrid>
        <w:gridCol w:w="9255"/>
      </w:tblGrid>
      <w:tr>
        <w:trPr>
          <w:trHeight w:val="690" w:hRule="auto"/>
          <w:jc w:val="left"/>
        </w:trPr>
        <w:tc>
          <w:tcPr>
            <w:tcW w:w="92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360"/>
              <w:ind w:right="0" w:left="195" w:firstLine="0"/>
              <w:jc w:val="center"/>
              <w:rPr>
                <w:spacing w:val="0"/>
                <w:position w:val="0"/>
                <w:shd w:fill="auto" w:val="clear"/>
              </w:rPr>
            </w:pPr>
            <w:r>
              <w:rPr>
                <w:rFonts w:ascii="Times New Roman" w:hAnsi="Times New Roman" w:cs="Times New Roman" w:eastAsia="Times New Roman"/>
                <w:color w:val="292929"/>
                <w:spacing w:val="0"/>
                <w:position w:val="0"/>
                <w:sz w:val="32"/>
                <w:shd w:fill="auto" w:val="clear"/>
              </w:rPr>
              <w:t xml:space="preserve">TANUPRIYA PATHAK                 20103288(B10)</w:t>
            </w:r>
          </w:p>
        </w:tc>
      </w:tr>
    </w:tbl>
    <w:p>
      <w:pPr>
        <w:spacing w:before="0" w:after="0" w:line="360"/>
        <w:ind w:right="0" w:left="0" w:firstLine="0"/>
        <w:jc w:val="center"/>
        <w:rPr>
          <w:rFonts w:ascii="Times New Roman" w:hAnsi="Times New Roman" w:cs="Times New Roman" w:eastAsia="Times New Roman"/>
          <w:b/>
          <w:color w:val="292929"/>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292929"/>
          <w:spacing w:val="0"/>
          <w:position w:val="0"/>
          <w:sz w:val="32"/>
          <w:shd w:fill="auto" w:val="clear"/>
        </w:rPr>
      </w:pPr>
      <w:r>
        <w:rPr>
          <w:rFonts w:ascii="Times New Roman" w:hAnsi="Times New Roman" w:cs="Times New Roman" w:eastAsia="Times New Roman"/>
          <w:b/>
          <w:color w:val="292929"/>
          <w:spacing w:val="0"/>
          <w:position w:val="0"/>
          <w:sz w:val="32"/>
          <w:shd w:fill="auto" w:val="clear"/>
        </w:rPr>
        <w:t xml:space="preserve">SUBMITTED TO : Dr. Akarsh Arora</w:t>
      </w: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480" w:after="120" w:line="360"/>
        <w:ind w:right="0" w:left="0" w:firstLine="0"/>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ACKNOWLEDGEMENT</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would like to place on record my deep sense of gratitude to Dr. Akarsh Arora, Assistant Professor, Jaypee Institute of Information Technology, India for his generous guidance, help and useful suggestions.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 also wish to extend my thanks to friends and other classmates for their insightful comments and constructive suggestions to improve the quality of this project work.</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4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4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Tanupriya Pathak</w:t>
      </w:r>
    </w:p>
    <w:p>
      <w:pPr>
        <w:spacing w:before="240" w:after="24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20103288</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72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TABLE OF CONTENTS</w:t>
      </w:r>
    </w:p>
    <w:tbl>
      <w:tblPr/>
      <w:tblGrid>
        <w:gridCol w:w="1905"/>
        <w:gridCol w:w="4275"/>
        <w:gridCol w:w="3030"/>
      </w:tblGrid>
      <w:tr>
        <w:trPr>
          <w:trHeight w:val="1280" w:hRule="auto"/>
          <w:jc w:val="left"/>
        </w:trPr>
        <w:tc>
          <w:tcPr>
            <w:tcW w:w="1905" w:type="dxa"/>
            <w:tcBorders>
              <w:top w:val="single" w:color="000000" w:sz="5"/>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 NO.</w:t>
            </w:r>
          </w:p>
        </w:tc>
        <w:tc>
          <w:tcPr>
            <w:tcW w:w="4275" w:type="dxa"/>
            <w:tcBorders>
              <w:top w:val="single" w:color="000000" w:sz="5"/>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CONTENT</w:t>
            </w:r>
          </w:p>
        </w:tc>
        <w:tc>
          <w:tcPr>
            <w:tcW w:w="3030" w:type="dxa"/>
            <w:tcBorders>
              <w:top w:val="single" w:color="000000" w:sz="5"/>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PAGE NO</w:t>
            </w:r>
          </w:p>
        </w:tc>
      </w:tr>
      <w:tr>
        <w:trPr>
          <w:trHeight w:val="870"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 Page</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1</w:t>
            </w:r>
          </w:p>
        </w:tc>
      </w:tr>
      <w:tr>
        <w:trPr>
          <w:trHeight w:val="810"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Acknowledgement</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2</w:t>
            </w:r>
          </w:p>
        </w:tc>
      </w:tr>
      <w:tr>
        <w:trPr>
          <w:trHeight w:val="85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Executive summary</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3</w:t>
            </w:r>
          </w:p>
        </w:tc>
      </w:tr>
      <w:tr>
        <w:trPr>
          <w:trHeight w:val="85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Introduction</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5</w:t>
            </w:r>
          </w:p>
        </w:tc>
      </w:tr>
      <w:tr>
        <w:trPr>
          <w:trHeight w:val="79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Notion of poverty</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6</w:t>
            </w:r>
          </w:p>
        </w:tc>
      </w:tr>
      <w:tr>
        <w:trPr>
          <w:trHeight w:val="88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Identification of poor</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8</w:t>
            </w:r>
          </w:p>
        </w:tc>
      </w:tr>
      <w:tr>
        <w:trPr>
          <w:trHeight w:val="870"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7.</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Aggregation of poverty</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9</w:t>
            </w:r>
          </w:p>
        </w:tc>
      </w:tr>
      <w:tr>
        <w:trPr>
          <w:trHeight w:val="91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8.</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Conclusion</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19</w:t>
            </w:r>
          </w:p>
        </w:tc>
      </w:tr>
      <w:tr>
        <w:trPr>
          <w:trHeight w:val="825"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9.</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Policy Implications</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20</w:t>
            </w:r>
          </w:p>
        </w:tc>
      </w:tr>
      <w:tr>
        <w:trPr>
          <w:trHeight w:val="930" w:hRule="auto"/>
          <w:jc w:val="left"/>
        </w:trPr>
        <w:tc>
          <w:tcPr>
            <w:tcW w:w="1905" w:type="dxa"/>
            <w:tcBorders>
              <w:top w:val="single" w:color="000000" w:sz="0"/>
              <w:left w:val="single" w:color="000000" w:sz="5"/>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10.</w:t>
            </w:r>
          </w:p>
        </w:tc>
        <w:tc>
          <w:tcPr>
            <w:tcW w:w="4275"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References</w:t>
            </w:r>
          </w:p>
        </w:tc>
        <w:tc>
          <w:tcPr>
            <w:tcW w:w="3030" w:type="dxa"/>
            <w:tcBorders>
              <w:top w:val="single" w:color="000000" w:sz="0"/>
              <w:left w:val="single" w:color="000000" w:sz="0"/>
              <w:bottom w:val="single" w:color="000000" w:sz="5"/>
              <w:right w:val="single" w:color="000000" w:sz="5"/>
            </w:tcBorders>
            <w:shd w:color="000000" w:fill="ffffff" w:val="clear"/>
            <w:tcMar>
              <w:left w:w="100" w:type="dxa"/>
              <w:right w:w="100" w:type="dxa"/>
            </w:tcMar>
            <w:vAlign w:val="top"/>
          </w:tcPr>
          <w:p>
            <w:pPr>
              <w:spacing w:before="24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21</w:t>
            </w:r>
          </w:p>
        </w:tc>
      </w:tr>
    </w:tbl>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SUMMARY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According to the official poverty estimates for 2011-12, the poverty rate in Maharashtra was 17.35%. The poverty rate in rural areas was higher compared to urban areas.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major reasons for poverty in Maharashtra during this period were lack of access to basic amenities like clean water, sanitation, and electricity, along with poor infrastructure and inadequate job opportunities, especially in rural areas.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Maharashtra government implemented several poverty alleviation programs during this period, including the Maharashtra Rural Employment Guarantee Scheme and the Mukhyamantri Rural Drinking Water Program. These initiatives aimed to provide employment opportunities and improve access to basic amenities in rural areas.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Despite these efforts, poverty in Maharashtra continued to be a significant challenge, particularly in the Marathwada and Vidarbha regions, which were the most impoverished areas of the state. These regions also faced frequent droughts, which further exacerbated poverty.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while the poverty rate in Maharashtra in 2011-12 was lower than the national average, poverty remained a major issue, especially in rural areas, and required sustained efforts to address it</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240" w:after="240"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Maharashtra is among the richest states in India in terms of per capita income, yet incidence of poverty in the state remains close to the national average. The state's economy grew at a faster rate than the all-India average during 1980-1 to 1992-3, but it slowed down a bit during 1993-4 to 2003-4 due to poorer performance of agriculture and industry. Agriculture's contribution to GSDP has come down to 12 per cent in 2002-3, but more than 50 per cent of total workers are still engaged in this.</w:t>
      </w:r>
    </w:p>
    <w:p>
      <w:pPr>
        <w:spacing w:before="240" w:after="240"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Cropping pattern has been shifting to greater value addition non-cereal crops like fruits, vegetables, oilseeds and sugarcane. Composition of manufacturing has shifted towards more capital-intensive sectors. Communication, transport and public administration have accounted for large part of service growth. The benefits of this growth process have, however, not spread equally across social groups or regions, which partly explains prevalence of high poverty compared to other states at similar mean income.</w:t>
      </w:r>
    </w:p>
    <w:p>
      <w:pPr>
        <w:spacing w:before="240" w:after="240"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 The much talked about Maharashtra Employment Guarantee Scheme (MEGS) has had limited success and its coverage across districts/divisions is not proportionate to the share of poor. Despite these developments, rural poverty has reduced from 38 per cent in 1993-4 to around 24 per cent in 1999-2000. Given current investment flows, the overall growth potential of Maharashtra does look bright for the medium run. </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333333"/>
          <w:spacing w:val="0"/>
          <w:position w:val="0"/>
          <w:sz w:val="24"/>
          <w:shd w:fill="FFFFFF" w:val="clear"/>
        </w:rPr>
        <w:t xml:space="preserve">But, distributional implications of the emerging growth pattern across sectors suggest that the poor might not benefit proportionately from the growth process. The lessons that Maharashtra provides is that growth has to be more broad-based and inclusive, and that intervention through social welfare programmes like MEGS should be designed to suit the local resource base of poorer regions for faster poverty reduction</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Notions Of Poverty</w:t>
      </w:r>
    </w:p>
    <w:p>
      <w:pPr>
        <w:numPr>
          <w:ilvl w:val="0"/>
          <w:numId w:val="51"/>
        </w:numPr>
        <w:spacing w:before="240" w:after="24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Existing Notion of Poverty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Maharashtra, poverty is typically measured using a combination of income and consumption-based indicators, along with multidimensional indicators such as access to education, healthcare, and basic services. The state government's poverty estimation methodology is based on a minimum calorie intake of 2,400 calories per person per day in rural areas and 2,100 calories in urban areas.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According to the latest data available from the Maharashtra State Planning Department, the poverty rate in the state was estimated to be around 17.4% in 2018-19. The rural poverty rate was higher at around 21.4%, while the urban poverty rate was around 12.5%.</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income and consumption-based indicators, there are also several multidimensional indicators of poverty in Maharashtra, including:</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Access to basic services such as electricity, water, and sanitation.</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Literacy rates and school enrollment rates.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Health indicators such as infant mortality rates, life expectancy, and access to healthcare services.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Social exclusion based on caste, religion, and gender.</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Suggestions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are some suggestions for thinking about the notion of poverty: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Strengthening social protection programs: Expanding and strengthening social protection programs like MGNREGS, AAY, and PMAY can provide income support, food security, and housing to the poorest and most vulnerable sections of society.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Promoting inclusive economic growth: Encouraging private sector investments and promoting entrepreneurship and innovation can create new job opportunities and stimulate economic growth, which can help reduce poverty in both rural and urban areas.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Improving access to basic services: Ensuring access to basic services like health care, education, sanitation, and drinking water can improve the overall living conditions of the poor and reduce their vulnerability to shocks and disasters.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Empowering marginalized communities: Addressing social exclusion and discrimination based on caste, gender, religion, or ethnicity is critical to empowering marginalized communities and reducing poverty.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Investing in human capital: Investing in education and skill development can equip people with the tools they need to escape poverty and participate fully in the economy and society.</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Strengthening governance and institutions: Improving the quality of governance and strengthening institutions like local government bodies, the judiciary, and law enforcement agencies can enhance accountability and transparency, reduce corruption, and promote inclusive development.</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Identification of Poor</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numPr>
          <w:ilvl w:val="0"/>
          <w:numId w:val="54"/>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Existing terms of Identification of Poor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MPCE</w:t>
      </w:r>
      <w:r>
        <w:rPr>
          <w:rFonts w:ascii="Times New Roman" w:hAnsi="Times New Roman" w:cs="Times New Roman" w:eastAsia="Times New Roman"/>
          <w:color w:val="auto"/>
          <w:spacing w:val="0"/>
          <w:position w:val="0"/>
          <w:sz w:val="24"/>
          <w:shd w:fill="auto" w:val="clear"/>
        </w:rPr>
        <w:t xml:space="preserve"> stands for Monthly Per Capita Expenditure, which is a measure of average household expenditure per person per month. Poverty, on the other hand, refers to a condition in which a person or a household lacks the resources necessary to meet basic needs such as food, shelter, and clothing.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MPCE is often used as an indicator of poverty in developing countries because it provides information on the amount of money households have available for consumption. In general, households with a lower MPCE are more likely to be living in poverty compared to households with a higher MPCE.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it is important to note that poverty is a complex issue that cannot be fully captured by a single measure such as MPCE. Other factors, such as access to education, healthcare, and basic infrastructure, also play a role in determining whether a household is living in poverty or not. Therefore, policymakers need to consider a range of indicators and factors when designing policies and programs to reduce poverty.</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MPCE is a measure of household expenditure, which includes spending on food, housing, education, healthcare, transportation, and other goods and services. In developing countries, where a large proportion of the population is engaged in informal employment and does not have a fixed income, MPCE is often used as a proxy for income. In general, households with a higher MPCE are assumed to have more resources available for consumption and are therefore less likely to be living in poverty.</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TEG Poverty line</w:t>
      </w:r>
      <w:r>
        <w:rPr>
          <w:rFonts w:ascii="Times New Roman" w:hAnsi="Times New Roman" w:cs="Times New Roman" w:eastAsia="Times New Roman"/>
          <w:color w:val="auto"/>
          <w:spacing w:val="0"/>
          <w:position w:val="0"/>
          <w:sz w:val="24"/>
          <w:shd w:fill="auto" w:val="clear"/>
        </w:rPr>
        <w:t xml:space="preserve"> refers to the poverty line used in the Total Economic Valuation of Guatemala (TEG) study. The TEG study was conducted in Guatemala to estimate the economic value of the country's natural resources and to provide policymakers with information on the potential costs and benefits of different development scenarios.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estimate the economic value of natural resources, the TEG study used a poverty line based on the minimum income required to meet basic needs, such as food, housing, and healthcare. The poverty line used in the TEG study was calculated as the cost of a basic food basket, which includes the minimum amount of food needed to provide a healthy and balanced diet, plus a small allowance for other basic needs such as clothing and shelter.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TEG poverty line was set at 19 quetzals per person per day (equivalent to approximately US$2.50 in 2021), which was the cost of the basic food basket in 1998, the year in which the TEG study was conducted. The poverty line was adjusted for inflation in subsequent years to reflect changes in the cost of living.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TEG poverty line has been used as a reference for poverty measurement and analysis in Guatemala. However, it is important to note that poverty is a multidimensional concept that goes beyond income and expenditure. Therefore, policymakers need to consider a range of indicators and factors when designing policies and programs to reduce poverty in Guatemala.</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Aggregation of Poverty</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numPr>
          <w:ilvl w:val="0"/>
          <w:numId w:val="56"/>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Watts index</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a composite index that combines three dimensions of poverty: income, assets, and housing conditions. The income dimension of the Watts index measures poverty based on the level of household income relative to a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58"/>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HCR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HCR stands for Headcount Ratio, which is a commonly used measure of poverty. It measures the proportion of the population living below the poverty line. The poverty line is typically set at a certain income or consumption level, below which a person or household is considered to be living in poverty. The HCR is calculated by dividing the number of people living below the poverty line by the total population.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60"/>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PGR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PGR stands for Poverty Gap Ratio, which is a measure of poverty that provides information on the depth of poverty. It measures the average income shortfall or gap that exists for people living below the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Poverty Gap Ratio is calculated by taking the total income shortfall for all individuals below the poverty line and dividing it by the total population. This provides an estimate of the average income gap per person who is living in poverty. The result is expressed as a percentage of the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62"/>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SPGR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SPGR stands for Squared Poverty Gap Ratio, takes into account the depth of poverty. It is similar to the Poverty Gap Ratio (PGR) but gives more weight to individuals who are further below the poverty line. The Squared Poverty Gap Ratio is calculated by taking the square of the income shortfall for all individuals below the poverty line and dividing it by the total population. This provides an estimate of the average income gap per person who is living in poverty, but it gives more weight to those who are further below the poverty line. The result is expressed as a percentage of the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Aggregated Results</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object w:dxaOrig="12207" w:dyaOrig="8772">
          <v:rect xmlns:o="urn:schemas-microsoft-com:office:office" xmlns:v="urn:schemas-microsoft-com:vml" id="rectole0000000001" style="width:610.350000pt;height:438.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Rural</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For Rural households, poverty Line was 967</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Head count ratio for rural household was 14.13% </w:t>
      </w:r>
    </w:p>
    <w:p>
      <w:pPr>
        <w:spacing w:before="0" w:after="0" w:line="360"/>
        <w:ind w:right="0" w:left="0" w:firstLine="0"/>
        <w:jc w:val="both"/>
        <w:rPr>
          <w:rFonts w:ascii="Times New Roman" w:hAnsi="Times New Roman" w:cs="Times New Roman" w:eastAsia="Times New Roman"/>
          <w:color w:val="auto"/>
          <w:spacing w:val="0"/>
          <w:position w:val="0"/>
          <w:sz w:val="24"/>
          <w:u w:val="single"/>
          <w:shd w:fill="auto" w:val="clear"/>
        </w:rPr>
      </w:pPr>
    </w:p>
    <w:p>
      <w:pPr>
        <w:numPr>
          <w:ilvl w:val="0"/>
          <w:numId w:val="66"/>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Head Count Ratio,Poverty Gap,Squared Poverty Gap Ratio,IWatt Index</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object w:dxaOrig="9277" w:dyaOrig="5143">
          <v:rect xmlns:o="urn:schemas-microsoft-com:office:office" xmlns:v="urn:schemas-microsoft-com:vml" id="rectole0000000002" style="width:463.850000pt;height:257.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Urban</w:t>
      </w:r>
    </w:p>
    <w:p>
      <w:pPr>
        <w:spacing w:before="0" w:after="0" w:line="360"/>
        <w:ind w:right="0" w:left="0" w:firstLine="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For Rural households, poverty Line was 1126.</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Head count ratio for urban household was 10.52% </w:t>
      </w:r>
    </w:p>
    <w:p>
      <w:pPr>
        <w:numPr>
          <w:ilvl w:val="0"/>
          <w:numId w:val="68"/>
        </w:numPr>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Head Count Ratio,Poverty Gap,Squared Poverty Gap Ratio,IWatt Index </w:t>
      </w:r>
      <w:r>
        <w:object w:dxaOrig="9136" w:dyaOrig="5313">
          <v:rect xmlns:o="urn:schemas-microsoft-com:office:office" xmlns:v="urn:schemas-microsoft-com:vml" id="rectole0000000003" style="width:456.800000pt;height:265.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70"/>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HCR, for Maharashtra in the period 2011-12 Urban population lived a better life. 14.13 % of the rural population lies below the poverty line, on the contrary 10.52% of Urban people lie below the poverty line.</w:t>
      </w:r>
    </w:p>
    <w:p>
      <w:pPr>
        <w:numPr>
          <w:ilvl w:val="0"/>
          <w:numId w:val="70"/>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PGR, for Maharashtra in the period 2011-12 Urban population lived a better life. 2.68 % of the rural population lies below the poverty line, on the contrary 1.99 % of Urban people lie below the poverty line.</w:t>
      </w:r>
    </w:p>
    <w:p>
      <w:pPr>
        <w:numPr>
          <w:ilvl w:val="0"/>
          <w:numId w:val="70"/>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SPGR, for Maharashtra in the period 2011-12 Urban population lived a better life. 0.88% of the rural population lies below the poverty line, on the contrary 0.55 % of Urban people lie below the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Disaggregated Results on the basis of Social Groups</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Social Groups: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1-ST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2-SC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3-OBC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9-GENERAL​</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object w:dxaOrig="9579" w:dyaOrig="5884">
          <v:rect xmlns:o="urn:schemas-microsoft-com:office:office" xmlns:v="urn:schemas-microsoft-com:vml" id="rectole0000000004" style="width:478.950000pt;height:29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r>
        <w:object w:dxaOrig="9485" w:dyaOrig="6219">
          <v:rect xmlns:o="urn:schemas-microsoft-com:office:office" xmlns:v="urn:schemas-microsoft-com:vml" id="rectole0000000005" style="width:474.250000pt;height:31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280" w:after="80" w:line="360"/>
        <w:ind w:right="0" w:left="0" w:firstLine="0"/>
        <w:jc w:val="both"/>
        <w:rPr>
          <w:rFonts w:ascii="Times New Roman" w:hAnsi="Times New Roman" w:cs="Times New Roman" w:eastAsia="Times New Roman"/>
          <w:b/>
          <w:color w:val="666666"/>
          <w:spacing w:val="0"/>
          <w:position w:val="0"/>
          <w:sz w:val="24"/>
          <w:shd w:fill="auto" w:val="clear"/>
        </w:rPr>
      </w:pPr>
      <w:r>
        <w:rPr>
          <w:rFonts w:ascii="Times New Roman" w:hAnsi="Times New Roman" w:cs="Times New Roman" w:eastAsia="Times New Roman"/>
          <w:b/>
          <w:color w:val="666666"/>
          <w:spacing w:val="0"/>
          <w:position w:val="0"/>
          <w:sz w:val="24"/>
          <w:shd w:fill="auto" w:val="clear"/>
        </w:rPr>
        <w:t xml:space="preserve">Rural</w:t>
      </w:r>
    </w:p>
    <w:p>
      <w:pPr>
        <w:numPr>
          <w:ilvl w:val="0"/>
          <w:numId w:val="7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According to (Tendulkar Methodology) Poverty Line for rural area = 967</w:t>
      </w:r>
    </w:p>
    <w:p>
      <w:pPr>
        <w:numPr>
          <w:ilvl w:val="0"/>
          <w:numId w:val="74"/>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 Count ratios for different social Groups:</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1-ST  :43.77%</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2-SC  :15.82%</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3-OBC :11.52%</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9-GENERAL​:7.65%</w:t>
      </w:r>
    </w:p>
    <w:p>
      <w:pPr>
        <w:spacing w:before="0" w:after="0" w:line="360"/>
        <w:ind w:right="0" w:left="144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792" w:dyaOrig="6436">
          <v:rect xmlns:o="urn:schemas-microsoft-com:office:office" xmlns:v="urn:schemas-microsoft-com:vml" id="rectole0000000006" style="width:489.600000pt;height:321.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81"/>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Poverty Gap Ratio:</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1-ST  :0.1165</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2-SC  :0.0268</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3-OBC :0.0188</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9-GENERAL​:0.0091</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10472" w:dyaOrig="8562">
          <v:rect xmlns:o="urn:schemas-microsoft-com:office:office" xmlns:v="urn:schemas-microsoft-com:vml" id="rectole0000000007" style="width:523.600000pt;height:428.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240" w:after="160" w:line="360"/>
        <w:ind w:right="0" w:left="0" w:firstLine="0"/>
        <w:jc w:val="both"/>
        <w:rPr>
          <w:rFonts w:ascii="Times New Roman" w:hAnsi="Times New Roman" w:cs="Times New Roman" w:eastAsia="Times New Roman"/>
          <w:color w:val="666666"/>
          <w:spacing w:val="0"/>
          <w:position w:val="0"/>
          <w:sz w:val="24"/>
          <w:shd w:fill="auto" w:val="clear"/>
        </w:rPr>
      </w:pPr>
      <w:r>
        <w:rPr>
          <w:rFonts w:ascii="Times New Roman" w:hAnsi="Times New Roman" w:cs="Times New Roman" w:eastAsia="Times New Roman"/>
          <w:color w:val="666666"/>
          <w:spacing w:val="0"/>
          <w:position w:val="0"/>
          <w:sz w:val="24"/>
          <w:shd w:fill="auto" w:val="clear"/>
        </w:rPr>
        <w:t xml:space="preserve">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keepNext w:val="true"/>
        <w:keepLines w:val="true"/>
        <w:spacing w:before="280" w:after="160" w:line="360"/>
        <w:ind w:right="0" w:left="0" w:firstLine="0"/>
        <w:jc w:val="both"/>
        <w:rPr>
          <w:rFonts w:ascii="Times New Roman" w:hAnsi="Times New Roman" w:cs="Times New Roman" w:eastAsia="Times New Roman"/>
          <w:b/>
          <w:color w:val="666666"/>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280" w:after="160" w:line="360"/>
        <w:ind w:right="0" w:left="0" w:firstLine="0"/>
        <w:jc w:val="both"/>
        <w:rPr>
          <w:rFonts w:ascii="Times New Roman" w:hAnsi="Times New Roman" w:cs="Times New Roman" w:eastAsia="Times New Roman"/>
          <w:b/>
          <w:color w:val="666666"/>
          <w:spacing w:val="0"/>
          <w:position w:val="0"/>
          <w:sz w:val="24"/>
          <w:shd w:fill="auto" w:val="clear"/>
        </w:rPr>
      </w:pPr>
      <w:r>
        <w:rPr>
          <w:rFonts w:ascii="Times New Roman" w:hAnsi="Times New Roman" w:cs="Times New Roman" w:eastAsia="Times New Roman"/>
          <w:b/>
          <w:color w:val="666666"/>
          <w:spacing w:val="0"/>
          <w:position w:val="0"/>
          <w:sz w:val="24"/>
          <w:shd w:fill="auto" w:val="clear"/>
        </w:rPr>
        <w:t xml:space="preserve">Urban</w:t>
      </w:r>
    </w:p>
    <w:p>
      <w:pPr>
        <w:numPr>
          <w:ilvl w:val="0"/>
          <w:numId w:val="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According to (Tendulkar Methodology) Poverty Line for rural area = 1126</w:t>
      </w:r>
    </w:p>
    <w:p>
      <w:pPr>
        <w:numPr>
          <w:ilvl w:val="0"/>
          <w:numId w:val="8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 Count ratios for different social Groups:</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1-ST  :16.12%</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2-SC  :16.26%</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3-OBC :12.04%</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9-GENERAL​:7.32%</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object w:dxaOrig="7673" w:dyaOrig="7472">
          <v:rect xmlns:o="urn:schemas-microsoft-com:office:office" xmlns:v="urn:schemas-microsoft-com:vml" id="rectole0000000008" style="width:383.650000pt;height:373.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spacing w:before="240" w:after="160" w:line="360"/>
        <w:ind w:right="0" w:left="0" w:firstLine="0"/>
        <w:jc w:val="both"/>
        <w:rPr>
          <w:rFonts w:ascii="Times New Roman" w:hAnsi="Times New Roman" w:cs="Times New Roman" w:eastAsia="Times New Roman"/>
          <w:color w:val="666666"/>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93"/>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Poverty Gap Ratio:</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1-ST  :0.0344</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2-SC  :0.0296</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3-OBC :0.02308</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9-GENERAL​:0.0139</w:t>
      </w:r>
    </w:p>
    <w:p>
      <w:pPr>
        <w:spacing w:before="0" w:after="0" w:line="360"/>
        <w:ind w:right="0" w:left="720" w:firstLine="0"/>
        <w:jc w:val="both"/>
        <w:rPr>
          <w:rFonts w:ascii="Times New Roman" w:hAnsi="Times New Roman" w:cs="Times New Roman" w:eastAsia="Times New Roman"/>
          <w:b/>
          <w:color w:val="auto"/>
          <w:spacing w:val="0"/>
          <w:position w:val="0"/>
          <w:sz w:val="24"/>
          <w:shd w:fill="auto" w:val="clear"/>
        </w:rPr>
      </w:pPr>
      <w:r>
        <w:object w:dxaOrig="7138" w:dyaOrig="6704">
          <v:rect xmlns:o="urn:schemas-microsoft-com:office:office" xmlns:v="urn:schemas-microsoft-com:vml" id="rectole0000000009" style="width:356.900000pt;height:335.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98"/>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PGR, for Maharashtra in the period 2011-12 Social Group 9 of the Urban population lived a better life. 13.91 % of the population lies below the poverty line.</w:t>
      </w:r>
    </w:p>
    <w:p>
      <w:pPr>
        <w:numPr>
          <w:ilvl w:val="0"/>
          <w:numId w:val="98"/>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HCR, for Chhattisgarh in the period 2011-12 Social Group 9 of the Urban population lived a better life. 0.73 % of the population lies below the poverty line.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3321" w:dyaOrig="6210">
          <v:rect xmlns:o="urn:schemas-microsoft-com:office:office" xmlns:v="urn:schemas-microsoft-com:vml" id="rectole0000000010" style="width:666.050000pt;height:310.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 LORENZ CURVE FOR MPCE_MRP_Rs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02124"/>
          <w:spacing w:val="0"/>
          <w:position w:val="0"/>
          <w:sz w:val="24"/>
          <w:shd w:fill="auto" w:val="clear"/>
        </w:rPr>
      </w:pPr>
      <w:r>
        <w:rPr>
          <w:rFonts w:ascii="Times New Roman" w:hAnsi="Times New Roman" w:cs="Times New Roman" w:eastAsia="Times New Roman"/>
          <w:color w:val="202124"/>
          <w:spacing w:val="0"/>
          <w:position w:val="0"/>
          <w:sz w:val="24"/>
          <w:shd w:fill="auto" w:val="clear"/>
        </w:rPr>
        <w:t xml:space="preserve">A Lorenz curve is </w:t>
      </w:r>
      <w:r>
        <w:rPr>
          <w:rFonts w:ascii="Times New Roman" w:hAnsi="Times New Roman" w:cs="Times New Roman" w:eastAsia="Times New Roman"/>
          <w:b/>
          <w:color w:val="202124"/>
          <w:spacing w:val="0"/>
          <w:position w:val="0"/>
          <w:sz w:val="24"/>
          <w:shd w:fill="auto" w:val="clear"/>
        </w:rPr>
        <w:t xml:space="preserve">a graphical representation of the distribution of income or wealth within a population</w:t>
      </w:r>
      <w:r>
        <w:rPr>
          <w:rFonts w:ascii="Times New Roman" w:hAnsi="Times New Roman" w:cs="Times New Roman" w:eastAsia="Times New Roman"/>
          <w:color w:val="202124"/>
          <w:spacing w:val="0"/>
          <w:position w:val="0"/>
          <w:sz w:val="24"/>
          <w:shd w:fill="auto" w:val="clear"/>
        </w:rPr>
        <w:t xml:space="preserve">. In this case we have used our expenditure to build the Lorenz curve. The graph depicts the percentiles of the population against cumulative income or wealth of people at or below that percentile.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RECOMMENDATIONS</w:t>
      </w:r>
    </w:p>
    <w:p>
      <w:pPr>
        <w:numPr>
          <w:ilvl w:val="0"/>
          <w:numId w:val="101"/>
        </w:numPr>
        <w:spacing w:before="240" w:after="24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Improving Agriculture: Agriculture is an important sector in Maharashtra, and improving agricultural productivity can help alleviate poverty in rural areas. This can be done by providing farmers with access to credit, better technology, and irrigation systems.</w:t>
      </w:r>
    </w:p>
    <w:p>
      <w:pPr>
        <w:spacing w:before="240" w:after="240" w:line="36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103"/>
        </w:numPr>
        <w:spacing w:before="24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Infrastructure Development: Developing infrastructure such as roads, electricity, and water supply can improve access to markets and create opportunities for economic growth in both urban and rural areas.</w:t>
      </w:r>
    </w:p>
    <w:p>
      <w:pPr>
        <w:numPr>
          <w:ilvl w:val="0"/>
          <w:numId w:val="103"/>
        </w:numPr>
        <w:spacing w:before="0" w:after="24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Social Welfare Programs: Maharashtra has several social welfare programs such as food subsidies, healthcare, and housing schemes that are designed to help people living in poverty. Improving the efficiency and reach of these programs can help reduce poverty and provide a safety net for the most vulnerable.</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06"/>
        </w:numPr>
        <w:spacing w:before="240" w:after="24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Women Empowerment: Empowering women can help reduce poverty by improving their access to education, health care, and job opportunities. Maharashtra has made significant progress in this area, but there is still a long way to go to ensure equal opportunities for women.</w:t>
      </w: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0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all these statical research we can conclude the poverty profile of Maharashtra(2011-2012)</w:t>
      </w:r>
    </w:p>
    <w:p>
      <w:pPr>
        <w:spacing w:before="200" w:after="0" w:line="360"/>
        <w:ind w:right="0" w:left="0" w:firstLine="0"/>
        <w:jc w:val="both"/>
        <w:rPr>
          <w:rFonts w:ascii="Times New Roman" w:hAnsi="Times New Roman" w:cs="Times New Roman" w:eastAsia="Times New Roman"/>
          <w:color w:val="202124"/>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Urban population lives a better life as </w:t>
      </w:r>
      <w:r>
        <w:rPr>
          <w:rFonts w:ascii="Times New Roman" w:hAnsi="Times New Roman" w:cs="Times New Roman" w:eastAsia="Times New Roman"/>
          <w:color w:val="202124"/>
          <w:spacing w:val="0"/>
          <w:position w:val="0"/>
          <w:sz w:val="24"/>
          <w:shd w:fill="auto" w:val="clear"/>
        </w:rPr>
        <w:t xml:space="preserve">compared to</w:t>
      </w:r>
      <w:r>
        <w:rPr>
          <w:rFonts w:ascii="Times New Roman" w:hAnsi="Times New Roman" w:cs="Times New Roman" w:eastAsia="Times New Roman"/>
          <w:color w:val="auto"/>
          <w:spacing w:val="0"/>
          <w:position w:val="0"/>
          <w:sz w:val="24"/>
          <w:shd w:fill="auto" w:val="clear"/>
        </w:rPr>
        <w:t xml:space="preserve"> rural population</w:t>
      </w:r>
    </w:p>
    <w:p>
      <w:pPr>
        <w:spacing w:before="20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202124"/>
          <w:spacing w:val="0"/>
          <w:position w:val="0"/>
          <w:sz w:val="24"/>
          <w:shd w:fill="auto" w:val="clear"/>
        </w:rPr>
        <w:t xml:space="preserve">Social Group 9(General) lives a better life as compared to other social groups</w:t>
      </w: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POLICY IMPLICATIONS</w:t>
      </w:r>
    </w:p>
    <w:p>
      <w:pPr>
        <w:spacing w:before="24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Government of Maharashtra has implemented several policy implications aimed at reducing poverty and promoting economic development. Here are a few examples:</w:t>
      </w:r>
    </w:p>
    <w:p>
      <w:pPr>
        <w:numPr>
          <w:ilvl w:val="0"/>
          <w:numId w:val="111"/>
        </w:numPr>
        <w:spacing w:before="24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Maharashtra State Rural Livelihood Mission (MSRLM): As mentioned earlier, the MSRLM aims to alleviate rural poverty by providing sustainable livelihood opportunities to the rural poor. The mission provides a range of services such as training, capacity building, and financial assistance to help rural households become self-sufficient.</w:t>
      </w:r>
    </w:p>
    <w:p>
      <w:pPr>
        <w:numPr>
          <w:ilvl w:val="0"/>
          <w:numId w:val="111"/>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Maharashtra State Employment Guarantee Scheme (MGNREGS): The MGNREGS provides employment to rural households for up to 100 days a year. This scheme provides a safety net to the rural poor and helps them earn a livelihood.</w:t>
      </w:r>
    </w:p>
    <w:p>
      <w:pPr>
        <w:numPr>
          <w:ilvl w:val="0"/>
          <w:numId w:val="111"/>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Deendayal Antyodaya Yojana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National Urban Livelihoods Mission (DAY-NULM): This scheme aims to reduce poverty and vulnerability of the urban poor households by enabling them to access gainful self-employment and skilled wage employment opportunities. The scheme provides skill development training, wage subsidies, and interest subsidies to start a business or obtain a job.</w:t>
      </w:r>
    </w:p>
    <w:p>
      <w:pPr>
        <w:numPr>
          <w:ilvl w:val="0"/>
          <w:numId w:val="111"/>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Mukhyamantri Gramin Sadak Yojana (MGSY): This scheme aims to connect rural areas with all-weather roads and improve the rural transport system. The improved transport infrastructure helps to promote economic development and improve the livelihoods of people in rural areas.</w:t>
      </w:r>
    </w:p>
    <w:p>
      <w:pPr>
        <w:numPr>
          <w:ilvl w:val="0"/>
          <w:numId w:val="111"/>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Maharashtra State Nutrition Mission: The Maharashtra State Nutrition Mission aims to improve the nutritional status of women and children in the state. The mission provides a range of services such as health check-ups, nutritional counseling, and provision of nutritious food to pregnant women, lactating mothers, and children under the age of six.</w:t>
      </w:r>
    </w:p>
    <w:p>
      <w:pPr>
        <w:numPr>
          <w:ilvl w:val="0"/>
          <w:numId w:val="111"/>
        </w:numPr>
        <w:spacing w:before="0" w:after="24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National Social Assistance Programme (NSAP): The NSAP provides financial assistance to the elderly, widows, and persons with disabilities who are living below the poverty line. The scheme provides a monthly pension to these groups, which helps to alleviate poverty and provide a basic level of financial security.</w:t>
      </w: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REFERENCES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6"/>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https://www.jstor.org/stable/4403339</w:t>
        </w:r>
      </w:hyperlink>
    </w:p>
    <w:p>
      <w:pPr>
        <w:numPr>
          <w:ilvl w:val="0"/>
          <w:numId w:val="116"/>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https://ijariie.com/AdminUploadPdf/Poverty_alleviation_programme_in_Maharashtra_1464.pdf</w:t>
        </w:r>
      </w:hyperlink>
    </w:p>
    <w:p>
      <w:pPr>
        <w:numPr>
          <w:ilvl w:val="0"/>
          <w:numId w:val="116"/>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https://www.youtube.com/watch?v=wNN5HsQapas</w:t>
        </w:r>
      </w:hyperlink>
    </w:p>
    <w:p>
      <w:pPr>
        <w:numPr>
          <w:ilvl w:val="0"/>
          <w:numId w:val="116"/>
        </w:numPr>
        <w:spacing w:before="0" w:after="0" w:line="360"/>
        <w:ind w:right="0" w:left="144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https://pypi.org/project/poverty/</w:t>
        </w:r>
      </w:hyperlink>
    </w:p>
    <w:p>
      <w:pPr>
        <w:spacing w:before="0" w:after="0" w:line="360"/>
        <w:ind w:right="0" w:left="144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51">
    <w:abstractNumId w:val="108"/>
  </w:num>
  <w:num w:numId="54">
    <w:abstractNumId w:val="102"/>
  </w:num>
  <w:num w:numId="56">
    <w:abstractNumId w:val="96"/>
  </w:num>
  <w:num w:numId="58">
    <w:abstractNumId w:val="90"/>
  </w:num>
  <w:num w:numId="60">
    <w:abstractNumId w:val="84"/>
  </w:num>
  <w:num w:numId="62">
    <w:abstractNumId w:val="78"/>
  </w:num>
  <w:num w:numId="66">
    <w:abstractNumId w:val="72"/>
  </w:num>
  <w:num w:numId="68">
    <w:abstractNumId w:val="66"/>
  </w:num>
  <w:num w:numId="70">
    <w:abstractNumId w:val="60"/>
  </w:num>
  <w:num w:numId="74">
    <w:abstractNumId w:val="54"/>
  </w:num>
  <w:num w:numId="81">
    <w:abstractNumId w:val="48"/>
  </w:num>
  <w:num w:numId="88">
    <w:abstractNumId w:val="42"/>
  </w:num>
  <w:num w:numId="93">
    <w:abstractNumId w:val="36"/>
  </w:num>
  <w:num w:numId="98">
    <w:abstractNumId w:val="30"/>
  </w:num>
  <w:num w:numId="101">
    <w:abstractNumId w:val="24"/>
  </w:num>
  <w:num w:numId="103">
    <w:abstractNumId w:val="18"/>
  </w:num>
  <w:num w:numId="106">
    <w:abstractNumId w:val="12"/>
  </w:num>
  <w:num w:numId="111">
    <w:abstractNumId w:val="6"/>
  </w:num>
  <w:num w:numId="1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www.youtube.com/watch?v=wNN5HsQapas"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ijariie.com/AdminUploadPdf/Poverty_alleviation_programme_in_Maharashtra_1464.pdf"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jstor.org/stable/4403339"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ode="External" Target="https://pypi.org/project/poverty/"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