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003C71"/>
          </w:tcPr>
          <w:p>
            <w:pPr>
              <w:spacing w:after="40"/>
            </w:pPr>
            <w:r>
              <w:rPr>
                <w:b/>
                <w:i w:val="0"/>
                <w:color w:val="BFE0F0"/>
                <w:sz w:val="18"/>
              </w:rPr>
              <w:t>BUSINESS CASE  ·  FINANCE AUTOMATION</w:t>
            </w:r>
          </w:p>
          <w:p>
            <w:pPr>
              <w:spacing w:after="60"/>
            </w:pPr>
            <w:r>
              <w:rPr>
                <w:b/>
                <w:i w:val="0"/>
                <w:color w:val="FFFFFF"/>
                <w:sz w:val="44"/>
              </w:rPr>
              <w:t>Commission Accrual Automation</w:t>
            </w:r>
          </w:p>
          <w:p>
            <w:r>
              <w:rPr>
                <w:b w:val="0"/>
                <w:i w:val="0"/>
                <w:color w:val="DCECF6"/>
                <w:sz w:val="21"/>
              </w:rPr>
              <w:t>Solution 1: Automating the monthly commission accrual process to produce accounting-ready, audit-supported, executive-friendly reporting.</w:t>
            </w:r>
          </w:p>
        </w:tc>
      </w:tr>
    </w:tbl>
    <w:p>
      <w:pPr>
        <w:spacing w:after="120"/>
        <w:pBdr>
          <w:bottom w:val="single" w:sz="18" w:space="1" w:color="00A9CE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  <w:i w:val="0"/>
                <w:color w:val="52606D"/>
                <w:sz w:val="15"/>
              </w:rPr>
              <w:t>SPONSOR</w:t>
            </w:r>
          </w:p>
          <w:p>
            <w:pPr>
              <w:spacing w:before="0"/>
            </w:pPr>
            <w:r>
              <w:rPr>
                <w:b/>
                <w:i w:val="0"/>
                <w:color w:val="1F2933"/>
                <w:sz w:val="19"/>
              </w:rPr>
              <w:t>[Finance / Commercial Analytics Leadership]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i w:val="0"/>
                <w:color w:val="52606D"/>
                <w:sz w:val="15"/>
              </w:rPr>
              <w:t>AUTHOR</w:t>
            </w:r>
          </w:p>
          <w:p>
            <w:pPr>
              <w:spacing w:before="0"/>
            </w:pPr>
            <w:r>
              <w:rPr>
                <w:b/>
                <w:i w:val="0"/>
                <w:color w:val="1F2933"/>
                <w:sz w:val="19"/>
              </w:rPr>
              <w:t>Tanushree Arora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i w:val="0"/>
                <w:color w:val="52606D"/>
                <w:sz w:val="15"/>
              </w:rPr>
              <w:t>PROCESS OWNER</w:t>
            </w:r>
          </w:p>
          <w:p>
            <w:pPr>
              <w:spacing w:before="0"/>
            </w:pPr>
            <w:r>
              <w:rPr>
                <w:b/>
                <w:i w:val="0"/>
                <w:color w:val="1F2933"/>
                <w:sz w:val="19"/>
              </w:rPr>
              <w:t>Stephen (Accounting)</w:t>
            </w:r>
          </w:p>
        </w:tc>
      </w:tr>
      <w:tr>
        <w:tc>
          <w:tcPr>
            <w:tcW w:type="dxa" w:w="2880"/>
          </w:tcPr>
          <w:p>
            <w:pPr>
              <w:spacing w:after="0"/>
            </w:pPr>
            <w:r>
              <w:rPr>
                <w:b/>
                <w:i w:val="0"/>
                <w:color w:val="52606D"/>
                <w:sz w:val="15"/>
              </w:rPr>
              <w:t>DATE</w:t>
            </w:r>
          </w:p>
          <w:p>
            <w:pPr>
              <w:spacing w:before="0"/>
            </w:pPr>
            <w:r>
              <w:rPr>
                <w:b/>
                <w:i w:val="0"/>
                <w:color w:val="1F2933"/>
                <w:sz w:val="19"/>
              </w:rPr>
              <w:t>3 July 2026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i w:val="0"/>
                <w:color w:val="52606D"/>
                <w:sz w:val="15"/>
              </w:rPr>
              <w:t>VERSION</w:t>
            </w:r>
          </w:p>
          <w:p>
            <w:pPr>
              <w:spacing w:before="0"/>
            </w:pPr>
            <w:r>
              <w:rPr>
                <w:b/>
                <w:i w:val="0"/>
                <w:color w:val="1F2933"/>
                <w:sz w:val="19"/>
              </w:rPr>
              <w:t>1.0</w:t>
            </w:r>
          </w:p>
        </w:tc>
        <w:tc>
          <w:tcPr>
            <w:tcW w:type="dxa" w:w="2880"/>
          </w:tcPr>
          <w:p>
            <w:pPr>
              <w:spacing w:after="0"/>
            </w:pPr>
            <w:r>
              <w:rPr>
                <w:b/>
                <w:i w:val="0"/>
                <w:color w:val="52606D"/>
                <w:sz w:val="15"/>
              </w:rPr>
              <w:t>STATUS</w:t>
            </w:r>
          </w:p>
          <w:p>
            <w:pPr>
              <w:spacing w:before="0"/>
            </w:pPr>
            <w:r>
              <w:rPr>
                <w:b/>
                <w:i w:val="0"/>
                <w:color w:val="1F2933"/>
                <w:sz w:val="19"/>
              </w:rPr>
              <w:t>Draft / For Review</w:t>
            </w:r>
          </w:p>
        </w:tc>
      </w:tr>
    </w:tbl>
    <w:p>
      <w:pPr>
        <w:spacing w:after="160" w:before="0"/>
      </w:pP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1  </w:t>
      </w:r>
      <w:r>
        <w:rPr>
          <w:b/>
          <w:i w:val="0"/>
          <w:color w:val="00539B"/>
          <w:sz w:val="28"/>
        </w:rPr>
        <w:t>Executive Summary</w:t>
      </w:r>
    </w:p>
    <w:p>
      <w:pPr>
        <w:spacing w:after="60"/>
      </w:pPr>
      <w:r>
        <w:rPr>
          <w:b/>
          <w:i w:val="0"/>
          <w:color w:val="003C71"/>
          <w:sz w:val="21"/>
        </w:rPr>
        <w:t xml:space="preserve">Recommendation: </w:t>
      </w:r>
      <w:r>
        <w:rPr>
          <w:b w:val="0"/>
          <w:i w:val="0"/>
          <w:color w:val="1F2933"/>
          <w:sz w:val="21"/>
        </w:rPr>
        <w:t>Approve development of an automated Commission Accrual solution (Solution 1) to replace the current manual, Excel-based monthly process. The initiative removes fragile pivot-table and copy-paste work, produces accounting-ready and audit-supported output, and gives Finance leadership clear month-end visibility.</w:t>
      </w:r>
    </w:p>
    <w:p>
      <w:pPr>
        <w:spacing w:after="60"/>
      </w:pPr>
      <w:r>
        <w:rPr>
          <w:b/>
          <w:i w:val="0"/>
          <w:color w:val="003C71"/>
          <w:sz w:val="21"/>
        </w:rPr>
        <w:t xml:space="preserve">The ask: </w:t>
      </w:r>
      <w:r>
        <w:rPr>
          <w:b w:val="0"/>
          <w:i w:val="0"/>
          <w:color w:val="1F2933"/>
          <w:sz w:val="21"/>
        </w:rPr>
        <w:t>Approval of an estimated one-time implementation investment of about $45,000 and about $4,000/year recurring cost, delivered over an estimated 3 to 4 month timeline. All dollar figures are estimates pending validated inputs.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5F8FB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00539B"/>
                <w:sz w:val="32"/>
              </w:rPr>
              <w:t>~$45K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00539B"/>
                <w:sz w:val="32"/>
              </w:rPr>
              <w:t>~$26K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00539B"/>
                <w:sz w:val="32"/>
              </w:rPr>
              <w:t>~$54K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00539B"/>
                <w:sz w:val="32"/>
              </w:rPr>
              <w:t>~1.7 yr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00539B"/>
                <w:sz w:val="32"/>
              </w:rPr>
              <w:t>~50%</w:t>
            </w:r>
          </w:p>
        </w:tc>
      </w:tr>
      <w:tr>
        <w:tc>
          <w:tcPr>
            <w:tcW w:type="dxa" w:w="1728"/>
            <w:shd w:val="clear" w:color="auto" w:fill="F5F8FB"/>
          </w:tcPr>
          <w:p>
            <w:pPr>
              <w:spacing w:before="0"/>
              <w:jc w:val="center"/>
            </w:pPr>
            <w:r>
              <w:rPr>
                <w:b w:val="0"/>
                <w:i w:val="0"/>
                <w:color w:val="52606D"/>
                <w:sz w:val="17"/>
              </w:rPr>
              <w:t>One-time investment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before="0"/>
              <w:jc w:val="center"/>
            </w:pPr>
            <w:r>
              <w:rPr>
                <w:b w:val="0"/>
                <w:i w:val="0"/>
                <w:color w:val="52606D"/>
                <w:sz w:val="17"/>
              </w:rPr>
              <w:t>Net benefit / yr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before="0"/>
              <w:jc w:val="center"/>
            </w:pPr>
            <w:r>
              <w:rPr>
                <w:b w:val="0"/>
                <w:i w:val="0"/>
                <w:color w:val="52606D"/>
                <w:sz w:val="17"/>
              </w:rPr>
              <w:t>5-yr NPV @10%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before="0"/>
              <w:jc w:val="center"/>
            </w:pPr>
            <w:r>
              <w:rPr>
                <w:b w:val="0"/>
                <w:i w:val="0"/>
                <w:color w:val="52606D"/>
                <w:sz w:val="17"/>
              </w:rPr>
              <w:t>Payback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before="0"/>
              <w:jc w:val="center"/>
            </w:pPr>
            <w:r>
              <w:rPr>
                <w:b w:val="0"/>
                <w:i w:val="0"/>
                <w:color w:val="52606D"/>
                <w:sz w:val="17"/>
              </w:rPr>
              <w:t>IRR</w:t>
            </w:r>
          </w:p>
        </w:tc>
      </w:tr>
    </w:tbl>
    <w:p>
      <w:pPr>
        <w:spacing w:after="160" w:before="0"/>
      </w:pPr>
    </w:p>
    <w:p>
      <w:pPr>
        <w:spacing w:after="60"/>
      </w:pPr>
      <w:r>
        <w:rPr>
          <w:b w:val="0"/>
          <w:i w:val="0"/>
          <w:color w:val="1F2933"/>
          <w:sz w:val="21"/>
        </w:rPr>
        <w:t>Beyond the quantified return, the strongest drivers are audit readiness, reduced financial-misstatement risk, and standardized executive reporting. These are strategic benefits rather than purely cost-based ones. Automation converts several senior-analyst days each month into reliable, repeatable output that Accounting can book directly.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DF6EC"/>
            <w:tcBorders>
              <w:left w:val="single" w:sz="24" w:space="0" w:color="C77700"/>
            </w:tcBorders>
          </w:tcPr>
          <w:p>
            <w:pPr>
              <w:spacing w:after="40"/>
            </w:pPr>
            <w:r>
              <w:rPr>
                <w:b/>
                <w:i w:val="0"/>
                <w:color w:val="C77700"/>
                <w:sz w:val="21"/>
              </w:rPr>
              <w:t>Note on financials</w:t>
            </w:r>
          </w:p>
          <w:p>
            <w:r>
              <w:rPr>
                <w:b w:val="0"/>
                <w:i w:val="0"/>
                <w:color w:val="1F2933"/>
                <w:sz w:val="20"/>
              </w:rPr>
              <w:t>All dollar figures in this document are illustrative estimates built to complete the business case in the absence of confirmed cost/benefit data. Replace them with actual implementation quotes, the fully-loaded analyst rate, measured effort hours, and the finance-approved discount rate before submitting for approval. See Section 14, Assumptions and Open Questions.</w:t>
            </w:r>
          </w:p>
        </w:tc>
      </w:tr>
    </w:tbl>
    <w:p>
      <w:pPr>
        <w:spacing w:after="120" w:before="0"/>
      </w:pP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2  </w:t>
      </w:r>
      <w:r>
        <w:rPr>
          <w:b/>
          <w:i w:val="0"/>
          <w:color w:val="00539B"/>
          <w:sz w:val="28"/>
        </w:rPr>
        <w:t>Problem and Opportunity</w:t>
      </w:r>
    </w:p>
    <w:p>
      <w:pPr>
        <w:spacing w:after="60"/>
      </w:pPr>
      <w:r>
        <w:rPr>
          <w:b w:val="0"/>
          <w:i w:val="0"/>
          <w:color w:val="1F2933"/>
          <w:sz w:val="21"/>
        </w:rPr>
        <w:t>Every month, Commercial Analytics generates commission reports. The process owner (Stephen) is notified, downloads the files, and manually assembles the accrual in Excel from two workbooks: Commissions Payment Made and Commissions Payment Remaining. Producing the accounting-ready workbook currently requires: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Opening the prior month's workbook and copying detailed data and Oracle BI screenshot sheets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Refreshing pivot tables and repairing formulas broken by changing row counts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Calculating accruals, forecasting the final three business days, and preparing Cost Center and Account summaries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Sending the completed workbook to Accounting for journal booking</w:t>
      </w:r>
    </w:p>
    <w:p>
      <w:pPr>
        <w:spacing w:before="160" w:after="20"/>
      </w:pPr>
      <w:r>
        <w:rPr>
          <w:b/>
          <w:i w:val="0"/>
          <w:color w:val="003C71"/>
          <w:sz w:val="22"/>
        </w:rPr>
        <w:t>Pain points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Manual copy/paste of detailed reports and screenshot sheets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Heavy dependence on fragile Excel pivot tables that shift monthly as row counts vary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Formula references break after each refresh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Manual reconciliation, data validation, and three-day forecasting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Large, slow Excel files and no executive-level reporting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Time spent maintaining spreadsheets instead of analyzing financials, with elevated error risk on a booked accrual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5F8FB"/>
            <w:tcBorders>
              <w:left w:val="single" w:sz="24" w:space="0" w:color="00A9CE"/>
            </w:tcBorders>
          </w:tcPr>
          <w:p>
            <w:pPr>
              <w:spacing w:after="40"/>
            </w:pPr>
            <w:r>
              <w:rPr>
                <w:b/>
                <w:i w:val="0"/>
                <w:color w:val="003C71"/>
                <w:sz w:val="21"/>
              </w:rPr>
              <w:t>Cost of inaction (do-nothing baseline)</w:t>
            </w:r>
          </w:p>
          <w:p>
            <w:r>
              <w:rPr>
                <w:b w:val="0"/>
                <w:i w:val="0"/>
                <w:color w:val="1F2933"/>
                <w:sz w:val="20"/>
              </w:rPr>
              <w:t>The process continues to consume an estimated 3 to 4 senior-analyst days per month, remains error-prone at the point of a financially material accrual, and offers no standardized audit trail or executive reporting. The fragility grows as transaction volumes rise, and knowledge remains concentrated in a single person.</w:t>
            </w:r>
          </w:p>
        </w:tc>
      </w:tr>
    </w:tbl>
    <w:p>
      <w:pPr>
        <w:spacing w:after="120" w:before="0"/>
      </w:pP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3  </w:t>
      </w:r>
      <w:r>
        <w:rPr>
          <w:b/>
          <w:i w:val="0"/>
          <w:color w:val="00539B"/>
          <w:sz w:val="28"/>
        </w:rPr>
        <w:t>Strategic Alignment</w:t>
      </w:r>
    </w:p>
    <w:p>
      <w:pPr>
        <w:spacing w:after="60"/>
      </w:pPr>
      <w:r>
        <w:rPr>
          <w:b w:val="0"/>
          <w:i w:val="0"/>
          <w:color w:val="1F2933"/>
          <w:sz w:val="21"/>
        </w:rPr>
        <w:t>The initiative directly advances Veralto Enterprise System (VES) principles: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Continuous improvement and lean: eliminates repetitive, low-value manual work and standardizes a recurring close activity.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Quality and problem-solving: removes fragile pivot/formula dependencies that are a root cause of month-end errors.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Customer-centricity (internal): delivers accounting-ready output and clear executive visibility for Finance stakeholders.</w:t>
      </w:r>
    </w:p>
    <w:p>
      <w:pPr>
        <w:spacing w:after="60"/>
      </w:pPr>
      <w:r>
        <w:rPr>
          <w:b w:val="0"/>
          <w:i w:val="0"/>
          <w:color w:val="1F2933"/>
          <w:sz w:val="21"/>
        </w:rPr>
        <w:t>It also supports [STRATEGIC PRIORITY], the specific organizational priority this initiative rolls up to (for example finance transformation, close-cycle efficiency, or control/audit strengthening). Confirm and insert the correct pillar.</w:t>
      </w: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4  </w:t>
      </w:r>
      <w:r>
        <w:rPr>
          <w:b/>
          <w:i w:val="0"/>
          <w:color w:val="00539B"/>
          <w:sz w:val="28"/>
        </w:rPr>
        <w:t>Proposed Solution and Scope</w:t>
      </w:r>
    </w:p>
    <w:p>
      <w:pPr>
        <w:spacing w:after="60"/>
      </w:pPr>
      <w:r>
        <w:rPr>
          <w:b w:val="0"/>
          <w:i w:val="0"/>
          <w:color w:val="1F2933"/>
          <w:sz w:val="21"/>
        </w:rPr>
        <w:t>Build an automated solution that ingests the two commission workbooks, validates and maps the data, applies the established commission logic, and generates a single new, accounting-ready output workbook without overwriting the source files.</w:t>
      </w:r>
    </w:p>
    <w:p>
      <w:pPr>
        <w:spacing w:before="160" w:after="20"/>
      </w:pPr>
      <w:r>
        <w:rPr>
          <w:b/>
          <w:i w:val="0"/>
          <w:color w:val="003C71"/>
          <w:sz w:val="22"/>
        </w:rPr>
        <w:t>Core capabilities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Guided workbook mapping: proposes which file is Payment Made vs Payment Remaining and requires user confirmation before processing. It never assumes the mapping.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Automated validation: required columns, missing Cost Centers or Bill-To Account Numbers, blank/invalid/negative values, and duplicates; reports imported row counts and whether screenshots are included.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Fiscal-aware three-day forecast: auto-derives the fiscal divisor from the Fiscal Period (four-week uses 17, five-week uses 22). The user is never asked which divisor to use, only for the Fiscal Period if it cannot be determined automatically.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Aging analysis on Payment Remaining (Current, 31 to 60, 61 to 90, 91 to 180, 181 to 365, Over 365 days) for visibility into outstanding liabilities.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Audit evidence preservation: Oracle BI screenshot sheets copied into the output with original formatting. No OCR, no interpretation, no row-count comparison.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Executive dashboard and AI commentary: KPI cards, accrual by month, top cost centers/accounts, Payment Made vs Remaining split, aging distribution, and a data-supported narrative (no speculation). Charts use summarized data only.</w:t>
      </w:r>
    </w:p>
    <w:p>
      <w:pPr>
        <w:spacing w:before="160" w:after="20"/>
      </w:pPr>
      <w:r>
        <w:rPr>
          <w:b/>
          <w:i w:val="0"/>
          <w:color w:val="003C71"/>
          <w:sz w:val="22"/>
        </w:rPr>
        <w:t>Output workbook (12 sheets)</w:t>
      </w:r>
    </w:p>
    <w:p>
      <w:pPr>
        <w:spacing w:after="60"/>
      </w:pPr>
      <w:r>
        <w:rPr>
          <w:b w:val="0"/>
          <w:i w:val="0"/>
          <w:color w:val="1F2933"/>
          <w:sz w:val="21"/>
        </w:rPr>
        <w:t>Executive Summary, Configuration, Month-Year Summary, Cost Center Summary, Cost Center plus Account Summary (primary booking view), Account Summary, Aging Summary, Payment Made Detail, Payment Remaining Detail, Validation Report, Audit Evidence, and Executive Dashboard.</w:t>
      </w:r>
    </w:p>
    <w:p>
      <w:pPr>
        <w:spacing w:before="160" w:after="20"/>
      </w:pPr>
      <w:r>
        <w:rPr>
          <w:b/>
          <w:i w:val="0"/>
          <w:color w:val="003C71"/>
          <w:sz w:val="22"/>
        </w:rPr>
        <w:t>Key business logic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Measure</w:t>
            </w:r>
          </w:p>
        </w:tc>
        <w:tc>
          <w:tcPr>
            <w:tcW w:type="dxa" w:w="6480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Definition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Payment Made Total</w:t>
            </w:r>
          </w:p>
        </w:tc>
        <w:tc>
          <w:tcPr>
            <w:tcW w:type="dxa" w:w="648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Sum of Commission Amount (payable now, customer payment received)</w:t>
            </w:r>
          </w:p>
        </w:tc>
      </w:tr>
      <w:tr>
        <w:tc>
          <w:tcPr>
            <w:tcW w:type="dxa" w:w="2880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Payment Remaining Total</w:t>
            </w:r>
          </w:p>
        </w:tc>
        <w:tc>
          <w:tcPr>
            <w:tcW w:type="dxa" w:w="6480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Sum of Commission Amount (future liability, payment not yet received)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Estimated Commission</w:t>
            </w:r>
          </w:p>
        </w:tc>
        <w:tc>
          <w:tcPr>
            <w:tcW w:type="dxa" w:w="648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(Payment Made Total / Fiscal Divisor) x 3 remaining business days</w:t>
            </w:r>
          </w:p>
        </w:tc>
      </w:tr>
      <w:tr>
        <w:tc>
          <w:tcPr>
            <w:tcW w:type="dxa" w:w="2880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Final Accrual</w:t>
            </w:r>
          </w:p>
        </w:tc>
        <w:tc>
          <w:tcPr>
            <w:tcW w:type="dxa" w:w="6480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Payment Made + Payment Remaining + Estimated Commission</w:t>
            </w:r>
          </w:p>
        </w:tc>
      </w:tr>
    </w:tbl>
    <w:p>
      <w:pPr>
        <w:spacing w:after="120" w:before="0"/>
      </w:pPr>
    </w:p>
    <w:p>
      <w:pPr>
        <w:spacing w:before="160" w:after="20"/>
      </w:pPr>
      <w:r>
        <w:rPr>
          <w:b/>
          <w:i w:val="0"/>
          <w:color w:val="003C71"/>
          <w:sz w:val="22"/>
        </w:rPr>
        <w:t>In scope (Solution 1)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Payment Made and Payment Remaining workbooks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Validation, mapping confirmation, three-day forecasting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All summaries, aging, dashboard, commentary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Audit-evidence preservation and accounting-ready output workbook</w:t>
      </w:r>
    </w:p>
    <w:p>
      <w:pPr>
        <w:spacing w:before="160" w:after="20"/>
      </w:pPr>
      <w:r>
        <w:rPr>
          <w:b/>
          <w:i w:val="0"/>
          <w:color w:val="003C71"/>
          <w:sz w:val="22"/>
        </w:rPr>
        <w:t>Out of scope (goes to Solution 2)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GL Supplemental reporting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Vendor payment analysis and views (by vendor, cost center, account)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JE Source filtering (exclude manual journal entries)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External commission-vendor payment visibility</w:t>
      </w: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5  </w:t>
      </w:r>
      <w:r>
        <w:rPr>
          <w:b/>
          <w:i w:val="0"/>
          <w:color w:val="00539B"/>
          <w:sz w:val="28"/>
        </w:rPr>
        <w:t>Options Considered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Option</w:t>
            </w:r>
          </w:p>
        </w:tc>
        <w:tc>
          <w:tcPr>
            <w:tcW w:type="dxa" w:w="3168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Pros</w:t>
            </w:r>
          </w:p>
        </w:tc>
        <w:tc>
          <w:tcPr>
            <w:tcW w:type="dxa" w:w="3168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Cons</w:t>
            </w:r>
          </w:p>
        </w:tc>
        <w:tc>
          <w:tcPr>
            <w:tcW w:type="dxa" w:w="1008"/>
            <w:shd w:val="clear" w:color="auto" w:fill="003C71"/>
          </w:tcPr>
          <w:p>
            <w:pPr>
              <w:spacing w:after="20" w:before="20"/>
              <w:jc w:val="right"/>
            </w:pPr>
            <w:r>
              <w:rPr>
                <w:b/>
                <w:i w:val="0"/>
                <w:color w:val="FFFFFF"/>
                <w:sz w:val="19"/>
              </w:rPr>
              <w:t>Rel. cost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A. Do nothing (status quo)</w:t>
            </w:r>
          </w:p>
        </w:tc>
        <w:tc>
          <w:tcPr>
            <w:tcW w:type="dxa" w:w="3168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No investment</w:t>
            </w:r>
          </w:p>
        </w:tc>
        <w:tc>
          <w:tcPr>
            <w:tcW w:type="dxa" w:w="3168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Ongoing manual effort, error risk, no audit trail or executive reporting; worsens with volume</w:t>
            </w:r>
          </w:p>
        </w:tc>
        <w:tc>
          <w:tcPr>
            <w:tcW w:type="dxa" w:w="1008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None</w:t>
            </w:r>
          </w:p>
        </w:tc>
      </w:tr>
      <w:tr>
        <w:tc>
          <w:tcPr>
            <w:tcW w:type="dxa" w:w="2448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B. Improve Excel (templates/macros)</w:t>
            </w:r>
          </w:p>
        </w:tc>
        <w:tc>
          <w:tcPr>
            <w:tcW w:type="dxa" w:w="3168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Low cost; familiar</w:t>
            </w:r>
          </w:p>
        </w:tc>
        <w:tc>
          <w:tcPr>
            <w:tcW w:type="dxa" w:w="3168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Still pivot/formula-dependent and fragile; limited validation, dashboard, or audit control</w:t>
            </w:r>
          </w:p>
        </w:tc>
        <w:tc>
          <w:tcPr>
            <w:tcW w:type="dxa" w:w="1008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Low</w:t>
            </w:r>
          </w:p>
        </w:tc>
      </w:tr>
      <w:tr>
        <w:tc>
          <w:tcPr>
            <w:tcW w:type="dxa" w:w="2448"/>
            <w:shd w:val="clear" w:color="auto" w:fill="E7F6EA"/>
          </w:tcPr>
          <w:p>
            <w:pPr>
              <w:spacing w:after="20" w:before="20"/>
            </w:pPr>
            <w:r>
              <w:rPr>
                <w:b/>
                <w:i w:val="0"/>
                <w:color w:val="1F2933"/>
                <w:sz w:val="19"/>
              </w:rPr>
              <w:t>C. Purpose-built automation (Recommended)</w:t>
            </w:r>
          </w:p>
        </w:tc>
        <w:tc>
          <w:tcPr>
            <w:tcW w:type="dxa" w:w="3168"/>
            <w:shd w:val="clear" w:color="auto" w:fill="E7F6EA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Removes manual work and pivots; built-in validation, forecasting, aging, dashboard, audit preservation; accounting-ready</w:t>
            </w:r>
          </w:p>
        </w:tc>
        <w:tc>
          <w:tcPr>
            <w:tcW w:type="dxa" w:w="3168"/>
            <w:shd w:val="clear" w:color="auto" w:fill="E7F6EA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Requires development and UAT investment</w:t>
            </w:r>
          </w:p>
        </w:tc>
        <w:tc>
          <w:tcPr>
            <w:tcW w:type="dxa" w:w="1008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Medium</w:t>
            </w:r>
          </w:p>
        </w:tc>
      </w:tr>
      <w:tr>
        <w:tc>
          <w:tcPr>
            <w:tcW w:type="dxa" w:w="2448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D. Commercial commission software</w:t>
            </w:r>
          </w:p>
        </w:tc>
        <w:tc>
          <w:tcPr>
            <w:tcW w:type="dxa" w:w="3168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Vendor-supported, feature-rich</w:t>
            </w:r>
          </w:p>
        </w:tc>
        <w:tc>
          <w:tcPr>
            <w:tcW w:type="dxa" w:w="3168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High cost and licensing; heavy integration; likely over-scoped</w:t>
            </w:r>
          </w:p>
        </w:tc>
        <w:tc>
          <w:tcPr>
            <w:tcW w:type="dxa" w:w="1008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High</w:t>
            </w:r>
          </w:p>
        </w:tc>
      </w:tr>
    </w:tbl>
    <w:p>
      <w:pPr>
        <w:spacing w:after="120" w:before="0"/>
      </w:pPr>
    </w:p>
    <w:p>
      <w:pPr>
        <w:spacing w:after="60"/>
      </w:pPr>
      <w:r>
        <w:rPr>
          <w:b/>
          <w:i w:val="0"/>
          <w:color w:val="003C71"/>
          <w:sz w:val="21"/>
        </w:rPr>
        <w:t xml:space="preserve">Why C wins: </w:t>
      </w:r>
      <w:r>
        <w:rPr>
          <w:b w:val="0"/>
          <w:i w:val="0"/>
          <w:color w:val="1F2933"/>
          <w:sz w:val="21"/>
        </w:rPr>
        <w:t>it eliminates the specific fragilities (copy/paste, pivot breakage, manual forecasting) while delivering the required validation, audit, and executive outputs at a fraction of the cost and integration burden of a commercial platform.</w:t>
      </w: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6  </w:t>
      </w:r>
      <w:r>
        <w:rPr>
          <w:b/>
          <w:i w:val="0"/>
          <w:color w:val="00539B"/>
          <w:sz w:val="28"/>
        </w:rPr>
        <w:t>Benefits</w:t>
      </w:r>
    </w:p>
    <w:p>
      <w:pPr>
        <w:spacing w:before="160" w:after="20"/>
      </w:pPr>
      <w:r>
        <w:rPr>
          <w:b/>
          <w:i w:val="0"/>
          <w:color w:val="003C71"/>
          <w:sz w:val="22"/>
        </w:rPr>
        <w:t>Quantified (estimate)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Benefit</w:t>
            </w:r>
          </w:p>
        </w:tc>
        <w:tc>
          <w:tcPr>
            <w:tcW w:type="dxa" w:w="4896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Basis</w:t>
            </w:r>
          </w:p>
        </w:tc>
        <w:tc>
          <w:tcPr>
            <w:tcW w:type="dxa" w:w="1584"/>
            <w:shd w:val="clear" w:color="auto" w:fill="003C71"/>
          </w:tcPr>
          <w:p>
            <w:pPr>
              <w:spacing w:after="20" w:before="20"/>
              <w:jc w:val="right"/>
            </w:pPr>
            <w:r>
              <w:rPr>
                <w:b/>
                <w:i w:val="0"/>
                <w:color w:val="FFFFFF"/>
                <w:sz w:val="19"/>
              </w:rPr>
              <w:t>Annual value</w:t>
            </w:r>
          </w:p>
        </w:tc>
      </w:tr>
      <w:tr>
        <w:tc>
          <w:tcPr>
            <w:tcW w:type="dxa" w:w="288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Analyst time saved</w:t>
            </w:r>
          </w:p>
        </w:tc>
        <w:tc>
          <w:tcPr>
            <w:tcW w:type="dxa" w:w="4896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About 28 hrs/month at $65 fully-loaded rate (about 336 hrs/yr)</w:t>
            </w:r>
          </w:p>
        </w:tc>
        <w:tc>
          <w:tcPr>
            <w:tcW w:type="dxa" w:w="158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$21,840</w:t>
            </w:r>
          </w:p>
        </w:tc>
      </w:tr>
      <w:tr>
        <w:tc>
          <w:tcPr>
            <w:tcW w:type="dxa" w:w="2880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Error / rework reduction</w:t>
            </w:r>
          </w:p>
        </w:tc>
        <w:tc>
          <w:tcPr>
            <w:tcW w:type="dxa" w:w="4896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Fewer accrual corrections and reconciliation cycles</w:t>
            </w:r>
          </w:p>
        </w:tc>
        <w:tc>
          <w:tcPr>
            <w:tcW w:type="dxa" w:w="1584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$8,160</w:t>
            </w:r>
          </w:p>
        </w:tc>
      </w:tr>
      <w:tr>
        <w:tc>
          <w:tcPr>
            <w:tcW w:type="dxa" w:w="2880"/>
            <w:shd w:val="clear" w:color="auto" w:fill="E7F6EA"/>
          </w:tcPr>
          <w:p>
            <w:pPr>
              <w:spacing w:after="20" w:before="20"/>
            </w:pPr>
            <w:r>
              <w:rPr>
                <w:b/>
                <w:i w:val="0"/>
                <w:color w:val="1F2933"/>
                <w:sz w:val="19"/>
              </w:rPr>
              <w:t>Total quantified annual benefit</w:t>
            </w:r>
          </w:p>
        </w:tc>
        <w:tc>
          <w:tcPr>
            <w:tcW w:type="dxa" w:w="4896"/>
            <w:shd w:val="clear" w:color="auto" w:fill="E7F6EA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</w:r>
          </w:p>
        </w:tc>
        <w:tc>
          <w:tcPr>
            <w:tcW w:type="dxa" w:w="1584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$30,000</w:t>
            </w:r>
          </w:p>
        </w:tc>
      </w:tr>
    </w:tbl>
    <w:p>
      <w:pPr>
        <w:spacing w:after="120" w:before="0"/>
      </w:pPr>
    </w:p>
    <w:p>
      <w:pPr>
        <w:spacing w:before="160" w:after="20"/>
      </w:pPr>
      <w:r>
        <w:rPr>
          <w:b/>
          <w:i w:val="0"/>
          <w:color w:val="003C71"/>
          <w:sz w:val="22"/>
        </w:rPr>
        <w:t>Qualitative / strategic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Improved audit readiness and standardized evidence; reduced financial-misstatement risk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Consistent, repeatable month-end output; executive-level visibility and trend analysis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Reduced key-person dependency; analyst time redirected to analysis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Scalable as transaction volume grows; faster, lower-stress close</w:t>
      </w: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7  </w:t>
      </w:r>
      <w:r>
        <w:rPr>
          <w:b/>
          <w:i w:val="0"/>
          <w:color w:val="00539B"/>
          <w:sz w:val="28"/>
        </w:rPr>
        <w:t>Financial Analysis</w:t>
      </w:r>
    </w:p>
    <w:p>
      <w:pPr>
        <w:spacing w:after="60"/>
      </w:pPr>
      <w:r>
        <w:rPr>
          <w:b w:val="0"/>
          <w:i w:val="0"/>
          <w:color w:val="52606D"/>
          <w:sz w:val="19"/>
        </w:rPr>
        <w:t xml:space="preserve">Base case. Horizon: 5 years. Discount / hurdle rate: 10% </w:t>
      </w:r>
      <w:r>
        <w:rPr>
          <w:b/>
          <w:i w:val="0"/>
          <w:color w:val="C77700"/>
          <w:sz w:val="19"/>
        </w:rPr>
        <w:t>[confirm with Finance]. All figures are estimates.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Cash flow ($)</w:t>
            </w:r>
          </w:p>
        </w:tc>
        <w:tc>
          <w:tcPr>
            <w:tcW w:type="dxa" w:w="1234"/>
            <w:shd w:val="clear" w:color="auto" w:fill="003C71"/>
          </w:tcPr>
          <w:p>
            <w:pPr>
              <w:spacing w:after="20" w:before="20"/>
              <w:jc w:val="right"/>
            </w:pPr>
            <w:r>
              <w:rPr>
                <w:b/>
                <w:i w:val="0"/>
                <w:color w:val="FFFFFF"/>
                <w:sz w:val="19"/>
              </w:rPr>
              <w:t>Year 0</w:t>
            </w:r>
          </w:p>
        </w:tc>
        <w:tc>
          <w:tcPr>
            <w:tcW w:type="dxa" w:w="1234"/>
            <w:shd w:val="clear" w:color="auto" w:fill="003C71"/>
          </w:tcPr>
          <w:p>
            <w:pPr>
              <w:spacing w:after="20" w:before="20"/>
              <w:jc w:val="right"/>
            </w:pPr>
            <w:r>
              <w:rPr>
                <w:b/>
                <w:i w:val="0"/>
                <w:color w:val="FFFFFF"/>
                <w:sz w:val="19"/>
              </w:rPr>
              <w:t>Yr 1</w:t>
            </w:r>
          </w:p>
        </w:tc>
        <w:tc>
          <w:tcPr>
            <w:tcW w:type="dxa" w:w="1234"/>
            <w:shd w:val="clear" w:color="auto" w:fill="003C71"/>
          </w:tcPr>
          <w:p>
            <w:pPr>
              <w:spacing w:after="20" w:before="20"/>
              <w:jc w:val="right"/>
            </w:pPr>
            <w:r>
              <w:rPr>
                <w:b/>
                <w:i w:val="0"/>
                <w:color w:val="FFFFFF"/>
                <w:sz w:val="19"/>
              </w:rPr>
              <w:t>Yr 2</w:t>
            </w:r>
          </w:p>
        </w:tc>
        <w:tc>
          <w:tcPr>
            <w:tcW w:type="dxa" w:w="1234"/>
            <w:shd w:val="clear" w:color="auto" w:fill="003C71"/>
          </w:tcPr>
          <w:p>
            <w:pPr>
              <w:spacing w:after="20" w:before="20"/>
              <w:jc w:val="right"/>
            </w:pPr>
            <w:r>
              <w:rPr>
                <w:b/>
                <w:i w:val="0"/>
                <w:color w:val="FFFFFF"/>
                <w:sz w:val="19"/>
              </w:rPr>
              <w:t>Yr 3</w:t>
            </w:r>
          </w:p>
        </w:tc>
        <w:tc>
          <w:tcPr>
            <w:tcW w:type="dxa" w:w="1234"/>
            <w:shd w:val="clear" w:color="auto" w:fill="003C71"/>
          </w:tcPr>
          <w:p>
            <w:pPr>
              <w:spacing w:after="20" w:before="20"/>
              <w:jc w:val="right"/>
            </w:pPr>
            <w:r>
              <w:rPr>
                <w:b/>
                <w:i w:val="0"/>
                <w:color w:val="FFFFFF"/>
                <w:sz w:val="19"/>
              </w:rPr>
              <w:t>Yr 4</w:t>
            </w:r>
          </w:p>
        </w:tc>
        <w:tc>
          <w:tcPr>
            <w:tcW w:type="dxa" w:w="1234"/>
            <w:shd w:val="clear" w:color="auto" w:fill="003C71"/>
          </w:tcPr>
          <w:p>
            <w:pPr>
              <w:spacing w:after="20" w:before="20"/>
              <w:jc w:val="right"/>
            </w:pPr>
            <w:r>
              <w:rPr>
                <w:b/>
                <w:i w:val="0"/>
                <w:color w:val="FFFFFF"/>
                <w:sz w:val="19"/>
              </w:rPr>
              <w:t>Yr 5</w:t>
            </w:r>
          </w:p>
        </w:tc>
      </w:tr>
      <w:tr>
        <w:tc>
          <w:tcPr>
            <w:tcW w:type="dxa" w:w="1234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Implementation (one-time)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(45,000)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-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-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-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-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-</w:t>
            </w:r>
          </w:p>
        </w:tc>
      </w:tr>
      <w:tr>
        <w:tc>
          <w:tcPr>
            <w:tcW w:type="dxa" w:w="1234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Gross annual benefit</w:t>
            </w:r>
          </w:p>
        </w:tc>
        <w:tc>
          <w:tcPr>
            <w:tcW w:type="dxa" w:w="1234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-</w:t>
            </w:r>
          </w:p>
        </w:tc>
        <w:tc>
          <w:tcPr>
            <w:tcW w:type="dxa" w:w="1234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30,000</w:t>
            </w:r>
          </w:p>
        </w:tc>
        <w:tc>
          <w:tcPr>
            <w:tcW w:type="dxa" w:w="1234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30,000</w:t>
            </w:r>
          </w:p>
        </w:tc>
        <w:tc>
          <w:tcPr>
            <w:tcW w:type="dxa" w:w="1234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30,000</w:t>
            </w:r>
          </w:p>
        </w:tc>
        <w:tc>
          <w:tcPr>
            <w:tcW w:type="dxa" w:w="1234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30,000</w:t>
            </w:r>
          </w:p>
        </w:tc>
        <w:tc>
          <w:tcPr>
            <w:tcW w:type="dxa" w:w="1234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30,000</w:t>
            </w:r>
          </w:p>
        </w:tc>
      </w:tr>
      <w:tr>
        <w:tc>
          <w:tcPr>
            <w:tcW w:type="dxa" w:w="1234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Recurring cost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-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(4,000)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(4,000)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(4,000)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(4,000)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(4,000)</w:t>
            </w:r>
          </w:p>
        </w:tc>
      </w:tr>
      <w:tr>
        <w:tc>
          <w:tcPr>
            <w:tcW w:type="dxa" w:w="1234"/>
            <w:shd w:val="clear" w:color="auto" w:fill="E7F6EA"/>
          </w:tcPr>
          <w:p>
            <w:pPr>
              <w:spacing w:after="20" w:before="20"/>
            </w:pPr>
            <w:r>
              <w:rPr>
                <w:b/>
                <w:i w:val="0"/>
                <w:color w:val="1F2933"/>
                <w:sz w:val="19"/>
              </w:rPr>
              <w:t>Net cash flow</w:t>
            </w:r>
          </w:p>
        </w:tc>
        <w:tc>
          <w:tcPr>
            <w:tcW w:type="dxa" w:w="1234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(45,000)</w:t>
            </w:r>
          </w:p>
        </w:tc>
        <w:tc>
          <w:tcPr>
            <w:tcW w:type="dxa" w:w="1234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26,000</w:t>
            </w:r>
          </w:p>
        </w:tc>
        <w:tc>
          <w:tcPr>
            <w:tcW w:type="dxa" w:w="1234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26,000</w:t>
            </w:r>
          </w:p>
        </w:tc>
        <w:tc>
          <w:tcPr>
            <w:tcW w:type="dxa" w:w="1234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26,000</w:t>
            </w:r>
          </w:p>
        </w:tc>
        <w:tc>
          <w:tcPr>
            <w:tcW w:type="dxa" w:w="1234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26,000</w:t>
            </w:r>
          </w:p>
        </w:tc>
        <w:tc>
          <w:tcPr>
            <w:tcW w:type="dxa" w:w="1234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26,000</w:t>
            </w:r>
          </w:p>
        </w:tc>
      </w:tr>
      <w:tr>
        <w:tc>
          <w:tcPr>
            <w:tcW w:type="dxa" w:w="1234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Cumulative net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(45,000)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(19,000)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7,000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33,000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59,000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85,000</w:t>
            </w:r>
          </w:p>
        </w:tc>
      </w:tr>
      <w:tr>
        <w:tc>
          <w:tcPr>
            <w:tcW w:type="dxa" w:w="1234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Discount factor @10%</w:t>
            </w:r>
          </w:p>
        </w:tc>
        <w:tc>
          <w:tcPr>
            <w:tcW w:type="dxa" w:w="1234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1.000</w:t>
            </w:r>
          </w:p>
        </w:tc>
        <w:tc>
          <w:tcPr>
            <w:tcW w:type="dxa" w:w="1234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0.909</w:t>
            </w:r>
          </w:p>
        </w:tc>
        <w:tc>
          <w:tcPr>
            <w:tcW w:type="dxa" w:w="1234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0.826</w:t>
            </w:r>
          </w:p>
        </w:tc>
        <w:tc>
          <w:tcPr>
            <w:tcW w:type="dxa" w:w="1234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0.751</w:t>
            </w:r>
          </w:p>
        </w:tc>
        <w:tc>
          <w:tcPr>
            <w:tcW w:type="dxa" w:w="1234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0.683</w:t>
            </w:r>
          </w:p>
        </w:tc>
        <w:tc>
          <w:tcPr>
            <w:tcW w:type="dxa" w:w="1234"/>
            <w:shd w:val="clear" w:color="auto" w:fill="F5F8FB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0.621</w:t>
            </w:r>
          </w:p>
        </w:tc>
      </w:tr>
      <w:tr>
        <w:tc>
          <w:tcPr>
            <w:tcW w:type="dxa" w:w="1234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Present value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(45,000)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23,636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21,488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19,535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17,759</w:t>
            </w:r>
          </w:p>
        </w:tc>
        <w:tc>
          <w:tcPr>
            <w:tcW w:type="dxa" w:w="1234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16,144</w:t>
            </w:r>
          </w:p>
        </w:tc>
      </w:tr>
      <w:tr>
        <w:tc>
          <w:tcPr>
            <w:tcW w:type="dxa" w:w="1234"/>
            <w:shd w:val="clear" w:color="auto" w:fill="E7F6EA"/>
          </w:tcPr>
          <w:p>
            <w:pPr>
              <w:spacing w:after="20" w:before="20"/>
            </w:pPr>
            <w:r>
              <w:rPr>
                <w:b/>
                <w:i w:val="0"/>
                <w:color w:val="1F2933"/>
                <w:sz w:val="19"/>
              </w:rPr>
              <w:t>Cumulative PV (NPV build)</w:t>
            </w:r>
          </w:p>
        </w:tc>
        <w:tc>
          <w:tcPr>
            <w:tcW w:type="dxa" w:w="1234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(45,000)</w:t>
            </w:r>
          </w:p>
        </w:tc>
        <w:tc>
          <w:tcPr>
            <w:tcW w:type="dxa" w:w="1234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(21,364)</w:t>
            </w:r>
          </w:p>
        </w:tc>
        <w:tc>
          <w:tcPr>
            <w:tcW w:type="dxa" w:w="1234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124</w:t>
            </w:r>
          </w:p>
        </w:tc>
        <w:tc>
          <w:tcPr>
            <w:tcW w:type="dxa" w:w="1234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19,659</w:t>
            </w:r>
          </w:p>
        </w:tc>
        <w:tc>
          <w:tcPr>
            <w:tcW w:type="dxa" w:w="1234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37,418</w:t>
            </w:r>
          </w:p>
        </w:tc>
        <w:tc>
          <w:tcPr>
            <w:tcW w:type="dxa" w:w="1234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53,562</w:t>
            </w:r>
          </w:p>
        </w:tc>
      </w:tr>
    </w:tbl>
    <w:p>
      <w:pPr>
        <w:spacing w:after="120" w:before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5F8FB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00539B"/>
                <w:sz w:val="32"/>
              </w:rPr>
              <w:t>$53.6K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00539B"/>
                <w:sz w:val="32"/>
              </w:rPr>
              <w:t>~50%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00539B"/>
                <w:sz w:val="32"/>
              </w:rPr>
              <w:t>1.7 yr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00539B"/>
                <w:sz w:val="32"/>
              </w:rPr>
              <w:t>~2.0 yr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00539B"/>
                <w:sz w:val="32"/>
              </w:rPr>
              <w:t>189%</w:t>
            </w:r>
          </w:p>
        </w:tc>
      </w:tr>
      <w:tr>
        <w:tc>
          <w:tcPr>
            <w:tcW w:type="dxa" w:w="1728"/>
            <w:shd w:val="clear" w:color="auto" w:fill="F5F8FB"/>
          </w:tcPr>
          <w:p>
            <w:pPr>
              <w:spacing w:before="0"/>
              <w:jc w:val="center"/>
            </w:pPr>
            <w:r>
              <w:rPr>
                <w:b w:val="0"/>
                <w:i w:val="0"/>
                <w:color w:val="52606D"/>
                <w:sz w:val="17"/>
              </w:rPr>
              <w:t>NPV (5-yr,10%)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before="0"/>
              <w:jc w:val="center"/>
            </w:pPr>
            <w:r>
              <w:rPr>
                <w:b w:val="0"/>
                <w:i w:val="0"/>
                <w:color w:val="52606D"/>
                <w:sz w:val="17"/>
              </w:rPr>
              <w:t>IRR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before="0"/>
              <w:jc w:val="center"/>
            </w:pPr>
            <w:r>
              <w:rPr>
                <w:b w:val="0"/>
                <w:i w:val="0"/>
                <w:color w:val="52606D"/>
                <w:sz w:val="17"/>
              </w:rPr>
              <w:t>Simple payback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before="0"/>
              <w:jc w:val="center"/>
            </w:pPr>
            <w:r>
              <w:rPr>
                <w:b w:val="0"/>
                <w:i w:val="0"/>
                <w:color w:val="52606D"/>
                <w:sz w:val="17"/>
              </w:rPr>
              <w:t>Disc. payback</w:t>
            </w:r>
          </w:p>
        </w:tc>
        <w:tc>
          <w:tcPr>
            <w:tcW w:type="dxa" w:w="1728"/>
            <w:shd w:val="clear" w:color="auto" w:fill="F5F8FB"/>
          </w:tcPr>
          <w:p>
            <w:pPr>
              <w:spacing w:before="0"/>
              <w:jc w:val="center"/>
            </w:pPr>
            <w:r>
              <w:rPr>
                <w:b w:val="0"/>
                <w:i w:val="0"/>
                <w:color w:val="52606D"/>
                <w:sz w:val="17"/>
              </w:rPr>
              <w:t>5-yr ROI</w:t>
            </w:r>
          </w:p>
        </w:tc>
      </w:tr>
    </w:tbl>
    <w:p>
      <w:pPr>
        <w:spacing w:after="160" w:before="0"/>
      </w:pPr>
    </w:p>
    <w:p>
      <w:pPr>
        <w:spacing w:after="60"/>
      </w:pPr>
      <w:r>
        <w:rPr>
          <w:b w:val="0"/>
          <w:i w:val="0"/>
          <w:color w:val="1F2933"/>
          <w:sz w:val="21"/>
        </w:rPr>
        <w:t>ROI equals (5-yr net benefit of $130K less investment of $45K) divided by $45K, which is 189%. Investment is recovered partway through Year 2.</w:t>
      </w:r>
    </w:p>
    <w:p>
      <w:pPr>
        <w:spacing w:before="160" w:after="20"/>
      </w:pPr>
      <w:r>
        <w:rPr>
          <w:b/>
          <w:i w:val="0"/>
          <w:color w:val="003C71"/>
          <w:sz w:val="22"/>
        </w:rPr>
        <w:t>Sensitivity / scenario analysis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Scenario</w:t>
            </w:r>
          </w:p>
        </w:tc>
        <w:tc>
          <w:tcPr>
            <w:tcW w:type="dxa" w:w="1440"/>
            <w:shd w:val="clear" w:color="auto" w:fill="003C71"/>
          </w:tcPr>
          <w:p>
            <w:pPr>
              <w:spacing w:after="20" w:before="20"/>
              <w:jc w:val="right"/>
            </w:pPr>
            <w:r>
              <w:rPr>
                <w:b/>
                <w:i w:val="0"/>
                <w:color w:val="FFFFFF"/>
                <w:sz w:val="19"/>
              </w:rPr>
              <w:t>Investment</w:t>
            </w:r>
          </w:p>
        </w:tc>
        <w:tc>
          <w:tcPr>
            <w:tcW w:type="dxa" w:w="1440"/>
            <w:shd w:val="clear" w:color="auto" w:fill="003C71"/>
          </w:tcPr>
          <w:p>
            <w:pPr>
              <w:spacing w:after="20" w:before="20"/>
              <w:jc w:val="right"/>
            </w:pPr>
            <w:r>
              <w:rPr>
                <w:b/>
                <w:i w:val="0"/>
                <w:color w:val="FFFFFF"/>
                <w:sz w:val="19"/>
              </w:rPr>
              <w:t>Net benefit/yr</w:t>
            </w:r>
          </w:p>
        </w:tc>
        <w:tc>
          <w:tcPr>
            <w:tcW w:type="dxa" w:w="1440"/>
            <w:shd w:val="clear" w:color="auto" w:fill="003C71"/>
          </w:tcPr>
          <w:p>
            <w:pPr>
              <w:spacing w:after="20" w:before="20"/>
              <w:jc w:val="right"/>
            </w:pPr>
            <w:r>
              <w:rPr>
                <w:b/>
                <w:i w:val="0"/>
                <w:color w:val="FFFFFF"/>
                <w:sz w:val="19"/>
              </w:rPr>
              <w:t>NPV (10%,5yr)</w:t>
            </w:r>
          </w:p>
        </w:tc>
        <w:tc>
          <w:tcPr>
            <w:tcW w:type="dxa" w:w="1440"/>
            <w:shd w:val="clear" w:color="auto" w:fill="003C71"/>
          </w:tcPr>
          <w:p>
            <w:pPr>
              <w:spacing w:after="20" w:before="20"/>
              <w:jc w:val="right"/>
            </w:pPr>
            <w:r>
              <w:rPr>
                <w:b/>
                <w:i w:val="0"/>
                <w:color w:val="FFFFFF"/>
                <w:sz w:val="19"/>
              </w:rPr>
              <w:t>IRR</w:t>
            </w:r>
          </w:p>
        </w:tc>
        <w:tc>
          <w:tcPr>
            <w:tcW w:type="dxa" w:w="1440"/>
            <w:shd w:val="clear" w:color="auto" w:fill="003C71"/>
          </w:tcPr>
          <w:p>
            <w:pPr>
              <w:spacing w:after="20" w:before="20"/>
              <w:jc w:val="right"/>
            </w:pPr>
            <w:r>
              <w:rPr>
                <w:b/>
                <w:i w:val="0"/>
                <w:color w:val="FFFFFF"/>
                <w:sz w:val="19"/>
              </w:rPr>
              <w:t>Payback</w:t>
            </w:r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Conservative</w:t>
            </w:r>
          </w:p>
        </w:tc>
        <w:tc>
          <w:tcPr>
            <w:tcW w:type="dxa" w:w="1440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$60,000</w:t>
            </w:r>
          </w:p>
        </w:tc>
        <w:tc>
          <w:tcPr>
            <w:tcW w:type="dxa" w:w="1440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$13,400</w:t>
            </w:r>
          </w:p>
        </w:tc>
        <w:tc>
          <w:tcPr>
            <w:tcW w:type="dxa" w:w="1440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($9,200)</w:t>
            </w:r>
          </w:p>
        </w:tc>
        <w:tc>
          <w:tcPr>
            <w:tcW w:type="dxa" w:w="1440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~4%</w:t>
            </w:r>
          </w:p>
        </w:tc>
        <w:tc>
          <w:tcPr>
            <w:tcW w:type="dxa" w:w="1440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4.5 yr</w:t>
            </w:r>
          </w:p>
        </w:tc>
      </w:tr>
      <w:tr>
        <w:tc>
          <w:tcPr>
            <w:tcW w:type="dxa" w:w="1440"/>
            <w:shd w:val="clear" w:color="auto" w:fill="E7F6EA"/>
          </w:tcPr>
          <w:p>
            <w:pPr>
              <w:spacing w:after="20" w:before="20"/>
            </w:pPr>
            <w:r>
              <w:rPr>
                <w:b/>
                <w:i w:val="0"/>
                <w:color w:val="1F2933"/>
                <w:sz w:val="19"/>
              </w:rPr>
              <w:t>Base</w:t>
            </w:r>
          </w:p>
        </w:tc>
        <w:tc>
          <w:tcPr>
            <w:tcW w:type="dxa" w:w="1440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$45,000</w:t>
            </w:r>
          </w:p>
        </w:tc>
        <w:tc>
          <w:tcPr>
            <w:tcW w:type="dxa" w:w="1440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$26,000</w:t>
            </w:r>
          </w:p>
        </w:tc>
        <w:tc>
          <w:tcPr>
            <w:tcW w:type="dxa" w:w="1440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$53,600</w:t>
            </w:r>
          </w:p>
        </w:tc>
        <w:tc>
          <w:tcPr>
            <w:tcW w:type="dxa" w:w="1440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~50%</w:t>
            </w:r>
          </w:p>
        </w:tc>
        <w:tc>
          <w:tcPr>
            <w:tcW w:type="dxa" w:w="1440"/>
            <w:shd w:val="clear" w:color="auto" w:fill="E7F6EA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1.7 yr</w:t>
            </w:r>
          </w:p>
        </w:tc>
      </w:tr>
      <w:tr>
        <w:tc>
          <w:tcPr>
            <w:tcW w:type="dxa" w:w="144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Optimistic</w:t>
            </w:r>
          </w:p>
        </w:tc>
        <w:tc>
          <w:tcPr>
            <w:tcW w:type="dxa" w:w="1440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$35,000</w:t>
            </w:r>
          </w:p>
        </w:tc>
        <w:tc>
          <w:tcPr>
            <w:tcW w:type="dxa" w:w="1440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$50,600</w:t>
            </w:r>
          </w:p>
        </w:tc>
        <w:tc>
          <w:tcPr>
            <w:tcW w:type="dxa" w:w="1440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$156,800</w:t>
            </w:r>
          </w:p>
        </w:tc>
        <w:tc>
          <w:tcPr>
            <w:tcW w:type="dxa" w:w="1440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over 140%</w:t>
            </w:r>
          </w:p>
        </w:tc>
        <w:tc>
          <w:tcPr>
            <w:tcW w:type="dxa" w:w="1440"/>
          </w:tcPr>
          <w:p>
            <w:pPr>
              <w:spacing w:after="20" w:before="20"/>
              <w:jc w:val="right"/>
            </w:pPr>
            <w:r>
              <w:rPr>
                <w:b w:val="0"/>
                <w:i w:val="0"/>
                <w:color w:val="1F2933"/>
                <w:sz w:val="19"/>
              </w:rPr>
              <w:t>0.7 yr</w:t>
            </w:r>
          </w:p>
        </w:tc>
      </w:tr>
    </w:tbl>
    <w:p>
      <w:pPr>
        <w:spacing w:after="120" w:before="0"/>
      </w:pPr>
    </w:p>
    <w:p>
      <w:pPr>
        <w:spacing w:after="60"/>
      </w:pPr>
      <w:r>
        <w:rPr>
          <w:b/>
          <w:i w:val="0"/>
          <w:color w:val="003C71"/>
          <w:sz w:val="21"/>
        </w:rPr>
        <w:t xml:space="preserve">Most sensitive drivers: </w:t>
      </w:r>
      <w:r>
        <w:rPr>
          <w:b w:val="0"/>
          <w:i w:val="0"/>
          <w:color w:val="1F2933"/>
          <w:sz w:val="21"/>
        </w:rPr>
        <w:t>monthly hours saved, the fully-loaded analyst rate, and one-time implementation cost. The result stays value-positive across the base and optimistic cases; the conservative case turns on higher build cost plus lower measured savings, so confirm these two inputs first.</w:t>
      </w: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8  </w:t>
      </w:r>
      <w:r>
        <w:rPr>
          <w:b/>
          <w:i w:val="0"/>
          <w:color w:val="00539B"/>
          <w:sz w:val="28"/>
        </w:rPr>
        <w:t>Risks and Mitigations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56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Risk</w:t>
            </w:r>
          </w:p>
        </w:tc>
        <w:tc>
          <w:tcPr>
            <w:tcW w:type="dxa" w:w="1296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Likelihood</w:t>
            </w:r>
          </w:p>
        </w:tc>
        <w:tc>
          <w:tcPr>
            <w:tcW w:type="dxa" w:w="1152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Impact</w:t>
            </w:r>
          </w:p>
        </w:tc>
        <w:tc>
          <w:tcPr>
            <w:tcW w:type="dxa" w:w="3600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Mitigation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Source workbook format changes (columns/layout)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Medium</w:t>
            </w:r>
          </w:p>
        </w:tc>
        <w:tc>
          <w:tcPr>
            <w:tcW w:type="dxa" w:w="1152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High</w:t>
            </w:r>
          </w:p>
        </w:tc>
        <w:tc>
          <w:tcPr>
            <w:tcW w:type="dxa" w:w="360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Robust column mapping plus validation that fails clearly when structure changes</w:t>
            </w:r>
          </w:p>
        </w:tc>
      </w:tr>
      <w:tr>
        <w:tc>
          <w:tcPr>
            <w:tcW w:type="dxa" w:w="3456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Incorrect Payment Made / Remaining mapping</w:t>
            </w:r>
          </w:p>
        </w:tc>
        <w:tc>
          <w:tcPr>
            <w:tcW w:type="dxa" w:w="1296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Low</w:t>
            </w:r>
          </w:p>
        </w:tc>
        <w:tc>
          <w:tcPr>
            <w:tcW w:type="dxa" w:w="1152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High</w:t>
            </w:r>
          </w:p>
        </w:tc>
        <w:tc>
          <w:tcPr>
            <w:tcW w:type="dxa" w:w="3600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Mandatory user confirmation before processing (never assumed)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Fiscal Period mis-detected, wrong divisor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Low</w:t>
            </w:r>
          </w:p>
        </w:tc>
        <w:tc>
          <w:tcPr>
            <w:tcW w:type="dxa" w:w="1152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Medium</w:t>
            </w:r>
          </w:p>
        </w:tc>
        <w:tc>
          <w:tcPr>
            <w:tcW w:type="dxa" w:w="360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Auto-derive divisor; prompt only for Fiscal Period when undetermined</w:t>
            </w:r>
          </w:p>
        </w:tc>
      </w:tr>
      <w:tr>
        <w:tc>
          <w:tcPr>
            <w:tcW w:type="dxa" w:w="3456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User adoption / trust in automated accrual</w:t>
            </w:r>
          </w:p>
        </w:tc>
        <w:tc>
          <w:tcPr>
            <w:tcW w:type="dxa" w:w="1296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Medium</w:t>
            </w:r>
          </w:p>
        </w:tc>
        <w:tc>
          <w:tcPr>
            <w:tcW w:type="dxa" w:w="1152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Medium</w:t>
            </w:r>
          </w:p>
        </w:tc>
        <w:tc>
          <w:tcPr>
            <w:tcW w:type="dxa" w:w="3600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Parallel run vs manual for 1 to 2 months; transparent validation report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Audit acceptance of preserved evidence</w:t>
            </w:r>
          </w:p>
        </w:tc>
        <w:tc>
          <w:tcPr>
            <w:tcW w:type="dxa" w:w="1296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Low</w:t>
            </w:r>
          </w:p>
        </w:tc>
        <w:tc>
          <w:tcPr>
            <w:tcW w:type="dxa" w:w="1152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Medium</w:t>
            </w:r>
          </w:p>
        </w:tc>
        <w:tc>
          <w:tcPr>
            <w:tcW w:type="dxa" w:w="360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Preserve screenshots unaltered; align with audit early</w:t>
            </w:r>
          </w:p>
        </w:tc>
      </w:tr>
      <w:tr>
        <w:tc>
          <w:tcPr>
            <w:tcW w:type="dxa" w:w="3456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Estimated benefits not realized</w:t>
            </w:r>
          </w:p>
        </w:tc>
        <w:tc>
          <w:tcPr>
            <w:tcW w:type="dxa" w:w="1296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Medium</w:t>
            </w:r>
          </w:p>
        </w:tc>
        <w:tc>
          <w:tcPr>
            <w:tcW w:type="dxa" w:w="1152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Medium</w:t>
            </w:r>
          </w:p>
        </w:tc>
        <w:tc>
          <w:tcPr>
            <w:tcW w:type="dxa" w:w="3600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Baseline current effort before build; measure post-launch vs KPIs</w:t>
            </w:r>
          </w:p>
        </w:tc>
      </w:tr>
    </w:tbl>
    <w:p>
      <w:pPr>
        <w:spacing w:after="120" w:before="0"/>
      </w:pP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9  </w:t>
      </w:r>
      <w:r>
        <w:rPr>
          <w:b/>
          <w:i w:val="0"/>
          <w:color w:val="00539B"/>
          <w:sz w:val="28"/>
        </w:rPr>
        <w:t>Implementation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Phase</w:t>
            </w:r>
          </w:p>
        </w:tc>
        <w:tc>
          <w:tcPr>
            <w:tcW w:type="dxa" w:w="5328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Key activities</w:t>
            </w:r>
          </w:p>
        </w:tc>
        <w:tc>
          <w:tcPr>
            <w:tcW w:type="dxa" w:w="1584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Duration (est.)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1. Discovery and baseline</w:t>
            </w:r>
          </w:p>
        </w:tc>
        <w:tc>
          <w:tcPr>
            <w:tcW w:type="dxa" w:w="5328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Confirm logic, sample workbooks, baseline current effort, finalize requirements</w:t>
            </w:r>
          </w:p>
        </w:tc>
        <w:tc>
          <w:tcPr>
            <w:tcW w:type="dxa" w:w="1584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2 to 3 wks</w:t>
            </w:r>
          </w:p>
        </w:tc>
      </w:tr>
      <w:tr>
        <w:tc>
          <w:tcPr>
            <w:tcW w:type="dxa" w:w="2448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2. Build</w:t>
            </w:r>
          </w:p>
        </w:tc>
        <w:tc>
          <w:tcPr>
            <w:tcW w:type="dxa" w:w="5328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Ingestion, validation, mapping confirmation, calculations, forecasting, aging, summaries</w:t>
            </w:r>
          </w:p>
        </w:tc>
        <w:tc>
          <w:tcPr>
            <w:tcW w:type="dxa" w:w="1584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4 to 6 wks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3. Dashboard and commentary</w:t>
            </w:r>
          </w:p>
        </w:tc>
        <w:tc>
          <w:tcPr>
            <w:tcW w:type="dxa" w:w="5328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Executive dashboard, KPI cards, data-supported narrative, audit-evidence handling</w:t>
            </w:r>
          </w:p>
        </w:tc>
        <w:tc>
          <w:tcPr>
            <w:tcW w:type="dxa" w:w="1584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2 wks</w:t>
            </w:r>
          </w:p>
        </w:tc>
      </w:tr>
      <w:tr>
        <w:tc>
          <w:tcPr>
            <w:tcW w:type="dxa" w:w="2448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4. UAT and parallel run</w:t>
            </w:r>
          </w:p>
        </w:tc>
        <w:tc>
          <w:tcPr>
            <w:tcW w:type="dxa" w:w="5328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Validate output vs manual for 1 to 2 close cycles; Accounting sign-off</w:t>
            </w:r>
          </w:p>
        </w:tc>
        <w:tc>
          <w:tcPr>
            <w:tcW w:type="dxa" w:w="1584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2 to 4 wks</w:t>
            </w:r>
          </w:p>
        </w:tc>
      </w:tr>
      <w:tr>
        <w:tc>
          <w:tcPr>
            <w:tcW w:type="dxa" w:w="2448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5. Go-live and handover</w:t>
            </w:r>
          </w:p>
        </w:tc>
        <w:tc>
          <w:tcPr>
            <w:tcW w:type="dxa" w:w="5328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Documentation, training, transition to standard monthly use</w:t>
            </w:r>
          </w:p>
        </w:tc>
        <w:tc>
          <w:tcPr>
            <w:tcW w:type="dxa" w:w="1584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1 wk</w:t>
            </w:r>
          </w:p>
        </w:tc>
      </w:tr>
    </w:tbl>
    <w:p>
      <w:pPr>
        <w:spacing w:after="120" w:before="0"/>
      </w:pPr>
    </w:p>
    <w:p>
      <w:pPr>
        <w:spacing w:after="60"/>
      </w:pPr>
      <w:r>
        <w:rPr>
          <w:b w:val="0"/>
          <w:i w:val="0"/>
          <w:color w:val="1F2933"/>
          <w:sz w:val="21"/>
        </w:rPr>
        <w:t>Indicative total: about 3 to 4 months, dependent on sample-data and reviewer availability.</w:t>
      </w: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10  </w:t>
      </w:r>
      <w:r>
        <w:rPr>
          <w:b/>
          <w:i w:val="0"/>
          <w:color w:val="00539B"/>
          <w:sz w:val="28"/>
        </w:rPr>
        <w:t>Resource and Organizational Impact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People: process owner (Stephen) for requirements and UAT; a developer/automation resource for the build; Accounting for sign-off; light Finance-leadership input on the dashboard.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Process change: monthly routine shifts from manual assembly to upload, confirm mapping, review validation, then book. Analyst time is redirected from spreadsheet maintenance to review and analysis.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Skills: minimal new skills for end users; short training on the new workflow and validation report.</w:t>
      </w: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11  </w:t>
      </w:r>
      <w:r>
        <w:rPr>
          <w:b/>
          <w:i w:val="0"/>
          <w:color w:val="00539B"/>
          <w:sz w:val="28"/>
        </w:rPr>
        <w:t>Dependencies and Constraints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Timely monthly availability of the two commission workbooks from Commercial Analytics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Consistent source column structure (or advance notice of changes)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Reliable determination of Fiscal Period for divisor selection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Reviewer/UAT availability across 1 to 2 close cycles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Solution 1 is limited to the two workbooks; GL Supplemental and vendor analysis are Solution 2</w:t>
      </w: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12  </w:t>
      </w:r>
      <w:r>
        <w:rPr>
          <w:b/>
          <w:i w:val="0"/>
          <w:color w:val="00539B"/>
          <w:sz w:val="28"/>
        </w:rPr>
        <w:t>Success Metrics / KPIs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456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KPI</w:t>
            </w:r>
          </w:p>
        </w:tc>
        <w:tc>
          <w:tcPr>
            <w:tcW w:type="dxa" w:w="2880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Target</w:t>
            </w:r>
          </w:p>
        </w:tc>
        <w:tc>
          <w:tcPr>
            <w:tcW w:type="dxa" w:w="3024"/>
            <w:shd w:val="clear" w:color="auto" w:fill="003C71"/>
          </w:tcPr>
          <w:p>
            <w:pPr>
              <w:spacing w:after="20" w:before="20"/>
            </w:pPr>
            <w:r>
              <w:rPr>
                <w:b/>
                <w:i w:val="0"/>
                <w:color w:val="FFFFFF"/>
                <w:sz w:val="19"/>
              </w:rPr>
              <w:t>Measurement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Manual copy/paste and pivot steps eliminated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100%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Process walkthrough vs current steps</w:t>
            </w:r>
          </w:p>
        </w:tc>
      </w:tr>
      <w:tr>
        <w:tc>
          <w:tcPr>
            <w:tcW w:type="dxa" w:w="3456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Analyst time per close</w:t>
            </w:r>
          </w:p>
        </w:tc>
        <w:tc>
          <w:tcPr>
            <w:tcW w:type="dxa" w:w="2880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Down about 85% (3 to 4 days to under half a day)</w:t>
            </w:r>
          </w:p>
        </w:tc>
        <w:tc>
          <w:tcPr>
            <w:tcW w:type="dxa" w:w="3024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Timed baseline vs post-launch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Accrual booking-ready output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Used directly by Accounting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Accounting sign-off; no rework</w:t>
            </w:r>
          </w:p>
        </w:tc>
      </w:tr>
      <w:tr>
        <w:tc>
          <w:tcPr>
            <w:tcW w:type="dxa" w:w="3456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Forecast correctness</w:t>
            </w:r>
          </w:p>
        </w:tc>
        <w:tc>
          <w:tcPr>
            <w:tcW w:type="dxa" w:w="2880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Divisor auto-applied correctly every close</w:t>
            </w:r>
          </w:p>
        </w:tc>
        <w:tc>
          <w:tcPr>
            <w:tcW w:type="dxa" w:w="3024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Config/validation report review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Manual accrual errors / corrections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Down toward zero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Post-close correction count</w:t>
            </w:r>
          </w:p>
        </w:tc>
      </w:tr>
      <w:tr>
        <w:tc>
          <w:tcPr>
            <w:tcW w:type="dxa" w:w="3456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Audit evidence completeness</w:t>
            </w:r>
          </w:p>
        </w:tc>
        <w:tc>
          <w:tcPr>
            <w:tcW w:type="dxa" w:w="2880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Screenshots preserved every close</w:t>
            </w:r>
          </w:p>
        </w:tc>
        <w:tc>
          <w:tcPr>
            <w:tcW w:type="dxa" w:w="3024"/>
            <w:shd w:val="clear" w:color="auto" w:fill="F5F8FB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Validation report screenshot flag is Yes</w:t>
            </w:r>
          </w:p>
        </w:tc>
      </w:tr>
      <w:tr>
        <w:tc>
          <w:tcPr>
            <w:tcW w:type="dxa" w:w="3456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Executive dashboard delivered</w:t>
            </w:r>
          </w:p>
        </w:tc>
        <w:tc>
          <w:tcPr>
            <w:tcW w:type="dxa" w:w="2880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Every close</w:t>
            </w:r>
          </w:p>
        </w:tc>
        <w:tc>
          <w:tcPr>
            <w:tcW w:type="dxa" w:w="3024"/>
          </w:tcPr>
          <w:p>
            <w:pPr>
              <w:spacing w:after="20" w:before="20"/>
            </w:pPr>
            <w:r>
              <w:rPr>
                <w:b w:val="0"/>
                <w:i w:val="0"/>
                <w:color w:val="1F2933"/>
                <w:sz w:val="19"/>
              </w:rPr>
              <w:t>Dashboard produced and reviewed by leadership</w:t>
            </w:r>
          </w:p>
        </w:tc>
      </w:tr>
    </w:tbl>
    <w:p>
      <w:pPr>
        <w:spacing w:after="120" w:before="0"/>
      </w:pP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13  </w:t>
      </w:r>
      <w:r>
        <w:rPr>
          <w:b/>
          <w:i w:val="0"/>
          <w:color w:val="00539B"/>
          <w:sz w:val="28"/>
        </w:rPr>
        <w:t>Recommendation and Next Steps</w:t>
      </w:r>
    </w:p>
    <w:p>
      <w:pPr>
        <w:spacing w:after="60"/>
      </w:pPr>
      <w:r>
        <w:rPr>
          <w:b/>
          <w:i w:val="0"/>
          <w:color w:val="003C71"/>
          <w:sz w:val="21"/>
        </w:rPr>
        <w:t xml:space="preserve">Recommendation: </w:t>
      </w:r>
      <w:r>
        <w:rPr>
          <w:b w:val="0"/>
          <w:i w:val="0"/>
          <w:color w:val="1F2933"/>
          <w:sz w:val="21"/>
        </w:rPr>
        <w:t>Proceed with Option C, build the purpose-built Commission Accrual Automation (Solution 1). It resolves the core fragilities of the current process, delivers accounting-ready and audit-supported output, and provides executive visibility, with an attractive estimated return and strong strategic (risk and audit) benefits.</w:t>
      </w:r>
    </w:p>
    <w:p>
      <w:pPr>
        <w:pStyle w:val="ListNumber"/>
        <w:spacing w:after="40"/>
      </w:pPr>
      <w:r>
        <w:rPr>
          <w:b w:val="0"/>
          <w:i w:val="0"/>
          <w:color w:val="1F2933"/>
          <w:sz w:val="21"/>
        </w:rPr>
        <w:t>Confirm the financial inputs and replace the estimates (implementation quote, loaded analyst rate, measured effort, discount rate).</w:t>
      </w:r>
    </w:p>
    <w:p>
      <w:pPr>
        <w:pStyle w:val="ListNumber"/>
        <w:spacing w:after="40"/>
      </w:pPr>
      <w:r>
        <w:rPr>
          <w:b w:val="0"/>
          <w:i w:val="0"/>
          <w:color w:val="1F2933"/>
          <w:sz w:val="21"/>
        </w:rPr>
        <w:t>Secure sponsor approval and funding for the estimated $45K one-time investment.</w:t>
      </w:r>
    </w:p>
    <w:p>
      <w:pPr>
        <w:pStyle w:val="ListNumber"/>
        <w:spacing w:after="40"/>
      </w:pPr>
      <w:r>
        <w:rPr>
          <w:b w:val="0"/>
          <w:i w:val="0"/>
          <w:color w:val="1F2933"/>
          <w:sz w:val="21"/>
        </w:rPr>
        <w:t>Baseline current monthly effort before build begins (needed to prove savings).</w:t>
      </w:r>
    </w:p>
    <w:p>
      <w:pPr>
        <w:pStyle w:val="ListNumber"/>
        <w:spacing w:after="40"/>
      </w:pPr>
      <w:r>
        <w:rPr>
          <w:b w:val="0"/>
          <w:i w:val="0"/>
          <w:color w:val="1F2933"/>
          <w:sz w:val="21"/>
        </w:rPr>
        <w:t>Kick off Phase 1 (Discovery) with sample workbooks and the process owner.</w:t>
      </w:r>
    </w:p>
    <w:p>
      <w:pPr>
        <w:spacing w:before="280" w:after="40"/>
        <w:pBdr>
          <w:bottom w:val="single" w:sz="6" w:space="2" w:color="00A9CE"/>
        </w:pBdr>
      </w:pPr>
      <w:r>
        <w:rPr>
          <w:b/>
          <w:i w:val="0"/>
          <w:color w:val="00A9CE"/>
          <w:sz w:val="28"/>
        </w:rPr>
        <w:t xml:space="preserve">14  </w:t>
      </w:r>
      <w:r>
        <w:rPr>
          <w:b/>
          <w:i w:val="0"/>
          <w:color w:val="00539B"/>
          <w:sz w:val="28"/>
        </w:rPr>
        <w:t>Assumptions and Open Questions</w:t>
      </w:r>
    </w:p>
    <w:p>
      <w:pPr>
        <w:spacing w:before="160" w:after="20"/>
      </w:pPr>
      <w:r>
        <w:rPr>
          <w:b/>
          <w:i w:val="0"/>
          <w:color w:val="003C71"/>
          <w:sz w:val="22"/>
        </w:rPr>
        <w:t>Assumptions made (to validate)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Current effort is about 3 to 4 senior-analyst days (about 28 hrs) per month, with about 85% reduction after automation.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Fully-loaded analyst rate is about $65/hour.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One-time implementation is about $45,000; recurring is about $4,000/year.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Error/rework reduction is about $8,000/year.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5-year horizon; 10% discount/hurdle rate; benefits begin in Year 1.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Solution is internally built or AI-assisted rather than a licensed commercial platform.</w:t>
      </w:r>
    </w:p>
    <w:p>
      <w:pPr>
        <w:spacing w:before="160" w:after="20"/>
      </w:pPr>
      <w:r>
        <w:rPr>
          <w:b/>
          <w:i w:val="0"/>
          <w:color w:val="003C71"/>
          <w:sz w:val="22"/>
        </w:rPr>
        <w:t>Open questions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Actual implementation cost, internal build vs vendor quote?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Confirmed fully-loaded analyst rate and measured monthly hours?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Finance-approved discount/hurdle rate?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Who is the executive sponsor, and what strategic priority does this roll up to?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Target go-live month relative to the close calendar?</w:t>
      </w:r>
    </w:p>
    <w:p>
      <w:pPr>
        <w:pStyle w:val="ListBullet"/>
        <w:spacing w:after="60"/>
      </w:pPr>
      <w:r>
        <w:rPr>
          <w:b w:val="0"/>
          <w:i w:val="0"/>
          <w:color w:val="1F2933"/>
          <w:sz w:val="21"/>
        </w:rPr>
        <w:t>Any control/SOX requirements affecting the audit-evidence approach?</w:t>
      </w:r>
    </w:p>
    <w:p>
      <w:pPr>
        <w:spacing w:before="240"/>
      </w:pPr>
      <w:r>
        <w:rPr>
          <w:b w:val="0"/>
          <w:i/>
          <w:color w:val="52606D"/>
          <w:sz w:val="16"/>
        </w:rPr>
        <w:t>Confidential, internal use. Generated with the reusable Business Case Generator prompt. Financial figures are illustrative estimates pending validated inputs. Hach / Veralto brand palette applied (approximate; replace with official hex codes if available).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