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8640"/>
      </w:tblGrid>
      <w:tr>
        <w:tc>
          <w:tcPr>
            <w:tcW w:type="dxa" w:w="8640"/>
            <w:shd w:val="clear" w:color="auto" w:fill="003C71"/>
          </w:tcPr>
          <w:p>
            <w:pPr>
              <w:spacing w:after="40"/>
            </w:pPr>
            <w:r>
              <w:rPr>
                <w:b/>
                <w:i w:val="0"/>
                <w:color w:val="BFE0F0"/>
                <w:sz w:val="18"/>
              </w:rPr>
              <w:t>BUSINESS CASE  ·  FINANCE AUTOMATION</w:t>
            </w:r>
          </w:p>
          <w:p>
            <w:pPr>
              <w:spacing w:after="60"/>
            </w:pPr>
            <w:r>
              <w:rPr>
                <w:b/>
                <w:i w:val="0"/>
                <w:color w:val="FFFFFF"/>
                <w:sz w:val="44"/>
              </w:rPr>
              <w:t>Commission Accrual Automation</w:t>
            </w:r>
          </w:p>
          <w:p>
            <w:r>
              <w:rPr>
                <w:b w:val="0"/>
                <w:i w:val="0"/>
                <w:color w:val="DCECF6"/>
                <w:sz w:val="21"/>
              </w:rPr>
              <w:t>Solution 1: replacing the manual monthly commission accrual with an automated process that hands Accounting a ready-to-book workbook, keeps the audit evidence attached, and gives leadership a clear view of the numbers.</w:t>
            </w:r>
          </w:p>
        </w:tc>
      </w:tr>
    </w:tbl>
    <w:p>
      <w:pPr>
        <w:spacing w:after="120"/>
        <w:pBdr>
          <w:bottom w:val="single" w:sz="18" w:space="1" w:color="00A9CE"/>
        </w:pBdr>
      </w:pPr>
    </w:p>
    <w:tbl>
      <w:tblPr>
        <w:tblW w:type="auto" w:w="0"/>
        <w:tblLook w:firstColumn="1" w:firstRow="1" w:lastColumn="0" w:lastRow="0" w:noHBand="0" w:noVBand="1" w:val="04A0"/>
      </w:tblPr>
      <w:tblGrid>
        <w:gridCol w:w="2880"/>
        <w:gridCol w:w="2880"/>
        <w:gridCol w:w="2880"/>
      </w:tblGrid>
      <w:tr>
        <w:tc>
          <w:tcPr>
            <w:tcW w:type="dxa" w:w="2880"/>
          </w:tcPr>
          <w:p>
            <w:pPr>
              <w:spacing w:after="0"/>
            </w:pPr>
            <w:r>
              <w:rPr>
                <w:b/>
                <w:i w:val="0"/>
                <w:color w:val="52606D"/>
                <w:sz w:val="15"/>
              </w:rPr>
              <w:t>SPONSOR</w:t>
            </w:r>
          </w:p>
          <w:p>
            <w:pPr>
              <w:spacing w:before="0"/>
            </w:pPr>
            <w:r>
              <w:rPr>
                <w:b/>
                <w:i w:val="0"/>
                <w:color w:val="1F2933"/>
                <w:sz w:val="19"/>
              </w:rPr>
              <w:t>[Finance / Commercial Analytics Leadership]</w:t>
            </w:r>
          </w:p>
        </w:tc>
        <w:tc>
          <w:tcPr>
            <w:tcW w:type="dxa" w:w="2880"/>
          </w:tcPr>
          <w:p>
            <w:pPr>
              <w:spacing w:after="0"/>
            </w:pPr>
            <w:r>
              <w:rPr>
                <w:b/>
                <w:i w:val="0"/>
                <w:color w:val="52606D"/>
                <w:sz w:val="15"/>
              </w:rPr>
              <w:t>AUTHOR</w:t>
            </w:r>
          </w:p>
          <w:p>
            <w:pPr>
              <w:spacing w:before="0"/>
            </w:pPr>
            <w:r>
              <w:rPr>
                <w:b/>
                <w:i w:val="0"/>
                <w:color w:val="1F2933"/>
                <w:sz w:val="19"/>
              </w:rPr>
              <w:t>Tanushree Arora</w:t>
            </w:r>
          </w:p>
        </w:tc>
        <w:tc>
          <w:tcPr>
            <w:tcW w:type="dxa" w:w="2880"/>
          </w:tcPr>
          <w:p>
            <w:pPr>
              <w:spacing w:after="0"/>
            </w:pPr>
            <w:r>
              <w:rPr>
                <w:b/>
                <w:i w:val="0"/>
                <w:color w:val="52606D"/>
                <w:sz w:val="15"/>
              </w:rPr>
              <w:t>PROCESS OWNER</w:t>
            </w:r>
          </w:p>
          <w:p>
            <w:pPr>
              <w:spacing w:before="0"/>
            </w:pPr>
            <w:r>
              <w:rPr>
                <w:b/>
                <w:i w:val="0"/>
                <w:color w:val="1F2933"/>
                <w:sz w:val="19"/>
              </w:rPr>
              <w:t>Stephen (Accounting)</w:t>
            </w:r>
          </w:p>
        </w:tc>
      </w:tr>
      <w:tr>
        <w:tc>
          <w:tcPr>
            <w:tcW w:type="dxa" w:w="2880"/>
          </w:tcPr>
          <w:p>
            <w:pPr>
              <w:spacing w:after="0"/>
            </w:pPr>
            <w:r>
              <w:rPr>
                <w:b/>
                <w:i w:val="0"/>
                <w:color w:val="52606D"/>
                <w:sz w:val="15"/>
              </w:rPr>
              <w:t>DATE</w:t>
            </w:r>
          </w:p>
          <w:p>
            <w:pPr>
              <w:spacing w:before="0"/>
            </w:pPr>
            <w:r>
              <w:rPr>
                <w:b/>
                <w:i w:val="0"/>
                <w:color w:val="1F2933"/>
                <w:sz w:val="19"/>
              </w:rPr>
              <w:t>3 July 2026</w:t>
            </w:r>
          </w:p>
        </w:tc>
        <w:tc>
          <w:tcPr>
            <w:tcW w:type="dxa" w:w="2880"/>
          </w:tcPr>
          <w:p>
            <w:pPr>
              <w:spacing w:after="0"/>
            </w:pPr>
            <w:r>
              <w:rPr>
                <w:b/>
                <w:i w:val="0"/>
                <w:color w:val="52606D"/>
                <w:sz w:val="15"/>
              </w:rPr>
              <w:t>VERSION</w:t>
            </w:r>
          </w:p>
          <w:p>
            <w:pPr>
              <w:spacing w:before="0"/>
            </w:pPr>
            <w:r>
              <w:rPr>
                <w:b/>
                <w:i w:val="0"/>
                <w:color w:val="1F2933"/>
                <w:sz w:val="19"/>
              </w:rPr>
              <w:t>1.0</w:t>
            </w:r>
          </w:p>
        </w:tc>
        <w:tc>
          <w:tcPr>
            <w:tcW w:type="dxa" w:w="2880"/>
          </w:tcPr>
          <w:p>
            <w:pPr>
              <w:spacing w:after="0"/>
            </w:pPr>
            <w:r>
              <w:rPr>
                <w:b/>
                <w:i w:val="0"/>
                <w:color w:val="52606D"/>
                <w:sz w:val="15"/>
              </w:rPr>
              <w:t>STATUS</w:t>
            </w:r>
          </w:p>
          <w:p>
            <w:pPr>
              <w:spacing w:before="0"/>
            </w:pPr>
            <w:r>
              <w:rPr>
                <w:b/>
                <w:i w:val="0"/>
                <w:color w:val="1F2933"/>
                <w:sz w:val="19"/>
              </w:rPr>
              <w:t>Draft / For Review</w:t>
            </w:r>
          </w:p>
        </w:tc>
      </w:tr>
    </w:tbl>
    <w:p>
      <w:pPr>
        <w:spacing w:after="160" w:before="0"/>
      </w:pPr>
    </w:p>
    <w:p>
      <w:pPr>
        <w:spacing w:before="280" w:after="40"/>
        <w:pBdr>
          <w:bottom w:val="single" w:sz="6" w:space="2" w:color="00A9CE"/>
        </w:pBdr>
      </w:pPr>
      <w:r>
        <w:rPr>
          <w:b/>
          <w:i w:val="0"/>
          <w:color w:val="00A9CE"/>
          <w:sz w:val="28"/>
        </w:rPr>
        <w:t xml:space="preserve">1  </w:t>
      </w:r>
      <w:r>
        <w:rPr>
          <w:b/>
          <w:i w:val="0"/>
          <w:color w:val="00539B"/>
          <w:sz w:val="28"/>
        </w:rPr>
        <w:t>Executive Summary</w:t>
      </w:r>
    </w:p>
    <w:p>
      <w:pPr>
        <w:spacing w:after="60"/>
      </w:pPr>
      <w:r>
        <w:rPr>
          <w:b/>
          <w:i w:val="0"/>
          <w:color w:val="003C71"/>
          <w:sz w:val="21"/>
        </w:rPr>
        <w:t xml:space="preserve">Recommendation: </w:t>
      </w:r>
      <w:r>
        <w:rPr>
          <w:b w:val="0"/>
          <w:i w:val="0"/>
          <w:color w:val="1F2933"/>
          <w:sz w:val="21"/>
        </w:rPr>
        <w:t>Approve building an automated Commission Accrual solution (Solution 1) to replace today's manual, Excel-based routine. It takes out the fragile pivot tables and copy-paste steps and hands Accounting a workbook they can book straight away, with the audit evidence kept alongside it. Finance leadership gets a clear month-end picture without chasing it.</w:t>
      </w:r>
    </w:p>
    <w:p>
      <w:pPr>
        <w:spacing w:after="60"/>
      </w:pPr>
      <w:r>
        <w:rPr>
          <w:b/>
          <w:i w:val="0"/>
          <w:color w:val="003C71"/>
          <w:sz w:val="21"/>
        </w:rPr>
        <w:t xml:space="preserve">The ask: </w:t>
      </w:r>
      <w:r>
        <w:rPr>
          <w:b w:val="0"/>
          <w:i w:val="0"/>
          <w:color w:val="1F2933"/>
          <w:sz w:val="21"/>
        </w:rPr>
        <w:t>Fund a one-time build of about $45,000, plus roughly $4,000 a year to run it. The work should take three to four months. All dollar figures are estimates pending validated inputs.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F5F8FB"/>
          </w:tcPr>
          <w:p>
            <w:pPr>
              <w:spacing w:after="0"/>
              <w:jc w:val="center"/>
            </w:pPr>
            <w:r>
              <w:rPr>
                <w:b/>
                <w:i w:val="0"/>
                <w:color w:val="00539B"/>
                <w:sz w:val="32"/>
              </w:rPr>
              <w:t>~$45K</w:t>
            </w:r>
          </w:p>
        </w:tc>
        <w:tc>
          <w:tcPr>
            <w:tcW w:type="dxa" w:w="1728"/>
            <w:shd w:val="clear" w:color="auto" w:fill="F5F8FB"/>
          </w:tcPr>
          <w:p>
            <w:pPr>
              <w:spacing w:after="0"/>
              <w:jc w:val="center"/>
            </w:pPr>
            <w:r>
              <w:rPr>
                <w:b/>
                <w:i w:val="0"/>
                <w:color w:val="00539B"/>
                <w:sz w:val="32"/>
              </w:rPr>
              <w:t>~$26K</w:t>
            </w:r>
          </w:p>
        </w:tc>
        <w:tc>
          <w:tcPr>
            <w:tcW w:type="dxa" w:w="1728"/>
            <w:shd w:val="clear" w:color="auto" w:fill="F5F8FB"/>
          </w:tcPr>
          <w:p>
            <w:pPr>
              <w:spacing w:after="0"/>
              <w:jc w:val="center"/>
            </w:pPr>
            <w:r>
              <w:rPr>
                <w:b/>
                <w:i w:val="0"/>
                <w:color w:val="00539B"/>
                <w:sz w:val="32"/>
              </w:rPr>
              <w:t>~$54K</w:t>
            </w:r>
          </w:p>
        </w:tc>
        <w:tc>
          <w:tcPr>
            <w:tcW w:type="dxa" w:w="1728"/>
            <w:shd w:val="clear" w:color="auto" w:fill="F5F8FB"/>
          </w:tcPr>
          <w:p>
            <w:pPr>
              <w:spacing w:after="0"/>
              <w:jc w:val="center"/>
            </w:pPr>
            <w:r>
              <w:rPr>
                <w:b/>
                <w:i w:val="0"/>
                <w:color w:val="00539B"/>
                <w:sz w:val="32"/>
              </w:rPr>
              <w:t>~1.7 yr</w:t>
            </w:r>
          </w:p>
        </w:tc>
        <w:tc>
          <w:tcPr>
            <w:tcW w:type="dxa" w:w="1728"/>
            <w:shd w:val="clear" w:color="auto" w:fill="F5F8FB"/>
          </w:tcPr>
          <w:p>
            <w:pPr>
              <w:spacing w:after="0"/>
              <w:jc w:val="center"/>
            </w:pPr>
            <w:r>
              <w:rPr>
                <w:b/>
                <w:i w:val="0"/>
                <w:color w:val="00539B"/>
                <w:sz w:val="32"/>
              </w:rPr>
              <w:t>~50%</w:t>
            </w:r>
          </w:p>
        </w:tc>
      </w:tr>
      <w:tr>
        <w:tc>
          <w:tcPr>
            <w:tcW w:type="dxa" w:w="1728"/>
            <w:shd w:val="clear" w:color="auto" w:fill="F5F8FB"/>
          </w:tcPr>
          <w:p>
            <w:pPr>
              <w:spacing w:before="0"/>
              <w:jc w:val="center"/>
            </w:pPr>
            <w:r>
              <w:rPr>
                <w:b w:val="0"/>
                <w:i w:val="0"/>
                <w:color w:val="52606D"/>
                <w:sz w:val="17"/>
              </w:rPr>
              <w:t>One-time investment</w:t>
            </w:r>
          </w:p>
        </w:tc>
        <w:tc>
          <w:tcPr>
            <w:tcW w:type="dxa" w:w="1728"/>
            <w:shd w:val="clear" w:color="auto" w:fill="F5F8FB"/>
          </w:tcPr>
          <w:p>
            <w:pPr>
              <w:spacing w:before="0"/>
              <w:jc w:val="center"/>
            </w:pPr>
            <w:r>
              <w:rPr>
                <w:b w:val="0"/>
                <w:i w:val="0"/>
                <w:color w:val="52606D"/>
                <w:sz w:val="17"/>
              </w:rPr>
              <w:t>Net benefit / yr</w:t>
            </w:r>
          </w:p>
        </w:tc>
        <w:tc>
          <w:tcPr>
            <w:tcW w:type="dxa" w:w="1728"/>
            <w:shd w:val="clear" w:color="auto" w:fill="F5F8FB"/>
          </w:tcPr>
          <w:p>
            <w:pPr>
              <w:spacing w:before="0"/>
              <w:jc w:val="center"/>
            </w:pPr>
            <w:r>
              <w:rPr>
                <w:b w:val="0"/>
                <w:i w:val="0"/>
                <w:color w:val="52606D"/>
                <w:sz w:val="17"/>
              </w:rPr>
              <w:t>5-yr NPV @10%</w:t>
            </w:r>
          </w:p>
        </w:tc>
        <w:tc>
          <w:tcPr>
            <w:tcW w:type="dxa" w:w="1728"/>
            <w:shd w:val="clear" w:color="auto" w:fill="F5F8FB"/>
          </w:tcPr>
          <w:p>
            <w:pPr>
              <w:spacing w:before="0"/>
              <w:jc w:val="center"/>
            </w:pPr>
            <w:r>
              <w:rPr>
                <w:b w:val="0"/>
                <w:i w:val="0"/>
                <w:color w:val="52606D"/>
                <w:sz w:val="17"/>
              </w:rPr>
              <w:t>Payback</w:t>
            </w:r>
          </w:p>
        </w:tc>
        <w:tc>
          <w:tcPr>
            <w:tcW w:type="dxa" w:w="1728"/>
            <w:shd w:val="clear" w:color="auto" w:fill="F5F8FB"/>
          </w:tcPr>
          <w:p>
            <w:pPr>
              <w:spacing w:before="0"/>
              <w:jc w:val="center"/>
            </w:pPr>
            <w:r>
              <w:rPr>
                <w:b w:val="0"/>
                <w:i w:val="0"/>
                <w:color w:val="52606D"/>
                <w:sz w:val="17"/>
              </w:rPr>
              <w:t>IRR</w:t>
            </w:r>
          </w:p>
        </w:tc>
      </w:tr>
    </w:tbl>
    <w:p>
      <w:pPr>
        <w:spacing w:after="160" w:before="0"/>
      </w:pPr>
    </w:p>
    <w:p>
      <w:pPr>
        <w:spacing w:after="60"/>
      </w:pPr>
      <w:r>
        <w:rPr>
          <w:b w:val="0"/>
          <w:i w:val="0"/>
          <w:color w:val="1F2933"/>
          <w:sz w:val="21"/>
        </w:rPr>
        <w:t>The dollars matter, but they are not the whole story. The bigger wins are harder to put a number on: the accrual becomes easier to audit, the risk of a misstatement drops, and leadership finally gets its reporting in a consistent format. Today the work eats several senior-analyst days a month and leans on spreadsheets that break whenever the row counts change. Automating it turns that monthly scramble into a repeatable output Accounting can book directly.</w:t>
      </w:r>
    </w:p>
    <w:tbl>
      <w:tblPr>
        <w:tblW w:type="auto" w:w="0"/>
        <w:tblLook w:firstColumn="1" w:firstRow="1" w:lastColumn="0" w:lastRow="0" w:noHBand="0" w:noVBand="1" w:val="04A0"/>
      </w:tblPr>
      <w:tblGrid>
        <w:gridCol w:w="8640"/>
      </w:tblGrid>
      <w:tr>
        <w:tc>
          <w:tcPr>
            <w:tcW w:type="dxa" w:w="8640"/>
            <w:shd w:val="clear" w:color="auto" w:fill="FDF6EC"/>
            <w:tcBorders>
              <w:left w:val="single" w:sz="24" w:space="0" w:color="C77700"/>
            </w:tcBorders>
          </w:tcPr>
          <w:p>
            <w:pPr>
              <w:spacing w:after="40"/>
            </w:pPr>
            <w:r>
              <w:rPr>
                <w:b/>
                <w:i w:val="0"/>
                <w:color w:val="C77700"/>
                <w:sz w:val="21"/>
              </w:rPr>
              <w:t>Note on financials</w:t>
            </w:r>
          </w:p>
          <w:p>
            <w:r>
              <w:rPr>
                <w:b w:val="0"/>
                <w:i w:val="0"/>
                <w:color w:val="1F2933"/>
                <w:sz w:val="20"/>
              </w:rPr>
              <w:t>Every dollar figure here is a placeholder estimate, put in so the case reads as a finished document. Before it goes forward for approval, swap them for real numbers: a build quote, the fully-loaded analyst rate, the hours the process actually takes today, and the discount rate Finance wants used. Section 14 lists what still needs confirming.</w:t>
            </w:r>
          </w:p>
        </w:tc>
      </w:tr>
    </w:tbl>
    <w:p>
      <w:pPr>
        <w:spacing w:after="120" w:before="0"/>
      </w:pPr>
    </w:p>
    <w:p>
      <w:pPr>
        <w:spacing w:before="280" w:after="40"/>
        <w:pBdr>
          <w:bottom w:val="single" w:sz="6" w:space="2" w:color="00A9CE"/>
        </w:pBdr>
      </w:pPr>
      <w:r>
        <w:rPr>
          <w:b/>
          <w:i w:val="0"/>
          <w:color w:val="00A9CE"/>
          <w:sz w:val="28"/>
        </w:rPr>
        <w:t xml:space="preserve">2  </w:t>
      </w:r>
      <w:r>
        <w:rPr>
          <w:b/>
          <w:i w:val="0"/>
          <w:color w:val="00539B"/>
          <w:sz w:val="28"/>
        </w:rPr>
        <w:t>Problem and Opportunity</w:t>
      </w:r>
    </w:p>
    <w:p>
      <w:pPr>
        <w:spacing w:after="60"/>
      </w:pPr>
      <w:r>
        <w:rPr>
          <w:b w:val="0"/>
          <w:i w:val="0"/>
          <w:color w:val="1F2933"/>
          <w:sz w:val="21"/>
        </w:rPr>
        <w:t>Each month, Commercial Analytics publishes the commission reports and Stephen gets a note that they are ready. He downloads the files and builds the accrual by hand in Excel, working from two workbooks: Commissions Payment Made and Commissions Payment Remaining. Getting to a workbook Accounting can book takes a long list of manual steps:</w:t>
      </w:r>
    </w:p>
    <w:p>
      <w:pPr>
        <w:pStyle w:val="ListBullet"/>
        <w:spacing w:after="60"/>
      </w:pPr>
      <w:r>
        <w:rPr>
          <w:b w:val="0"/>
          <w:i w:val="0"/>
          <w:color w:val="1F2933"/>
          <w:sz w:val="21"/>
        </w:rPr>
        <w:t>Opening the prior month's workbook and copying detailed data and Oracle BI screenshot sheets</w:t>
      </w:r>
    </w:p>
    <w:p>
      <w:pPr>
        <w:pStyle w:val="ListBullet"/>
        <w:spacing w:after="60"/>
      </w:pPr>
      <w:r>
        <w:rPr>
          <w:b w:val="0"/>
          <w:i w:val="0"/>
          <w:color w:val="1F2933"/>
          <w:sz w:val="21"/>
        </w:rPr>
        <w:t>Refreshing pivot tables and repairing formulas broken by changing row counts</w:t>
      </w:r>
    </w:p>
    <w:p>
      <w:pPr>
        <w:pStyle w:val="ListBullet"/>
        <w:spacing w:after="60"/>
      </w:pPr>
      <w:r>
        <w:rPr>
          <w:b w:val="0"/>
          <w:i w:val="0"/>
          <w:color w:val="1F2933"/>
          <w:sz w:val="21"/>
        </w:rPr>
        <w:t>Calculating accruals, forecasting the final three business days, and preparing Cost Center and Account summaries</w:t>
      </w:r>
    </w:p>
    <w:p>
      <w:pPr>
        <w:pStyle w:val="ListBullet"/>
        <w:spacing w:after="60"/>
      </w:pPr>
      <w:r>
        <w:rPr>
          <w:b w:val="0"/>
          <w:i w:val="0"/>
          <w:color w:val="1F2933"/>
          <w:sz w:val="21"/>
        </w:rPr>
        <w:t>Sending the completed workbook to Accounting for journal booking</w:t>
      </w:r>
    </w:p>
    <w:p>
      <w:pPr>
        <w:spacing w:before="160" w:after="20"/>
      </w:pPr>
      <w:r>
        <w:rPr>
          <w:b/>
          <w:i w:val="0"/>
          <w:color w:val="003C71"/>
          <w:sz w:val="22"/>
        </w:rPr>
        <w:t>Pain points</w:t>
      </w:r>
    </w:p>
    <w:p>
      <w:pPr>
        <w:pStyle w:val="ListBullet"/>
        <w:spacing w:after="60"/>
      </w:pPr>
      <w:r>
        <w:rPr>
          <w:b w:val="0"/>
          <w:i w:val="0"/>
          <w:color w:val="1F2933"/>
          <w:sz w:val="21"/>
        </w:rPr>
        <w:t>Manual copy/paste of detailed reports and screenshot sheets</w:t>
      </w:r>
    </w:p>
    <w:p>
      <w:pPr>
        <w:pStyle w:val="ListBullet"/>
        <w:spacing w:after="60"/>
      </w:pPr>
      <w:r>
        <w:rPr>
          <w:b w:val="0"/>
          <w:i w:val="0"/>
          <w:color w:val="1F2933"/>
          <w:sz w:val="21"/>
        </w:rPr>
        <w:t>Heavy dependence on fragile Excel pivot tables that shift monthly as row counts vary</w:t>
      </w:r>
    </w:p>
    <w:p>
      <w:pPr>
        <w:pStyle w:val="ListBullet"/>
        <w:spacing w:after="60"/>
      </w:pPr>
      <w:r>
        <w:rPr>
          <w:b w:val="0"/>
          <w:i w:val="0"/>
          <w:color w:val="1F2933"/>
          <w:sz w:val="21"/>
        </w:rPr>
        <w:t>Formula references break after each refresh</w:t>
      </w:r>
    </w:p>
    <w:p>
      <w:pPr>
        <w:pStyle w:val="ListBullet"/>
        <w:spacing w:after="60"/>
      </w:pPr>
      <w:r>
        <w:rPr>
          <w:b w:val="0"/>
          <w:i w:val="0"/>
          <w:color w:val="1F2933"/>
          <w:sz w:val="21"/>
        </w:rPr>
        <w:t>Manual reconciliation, data validation, and three-day forecasting</w:t>
      </w:r>
    </w:p>
    <w:p>
      <w:pPr>
        <w:pStyle w:val="ListBullet"/>
        <w:spacing w:after="60"/>
      </w:pPr>
      <w:r>
        <w:rPr>
          <w:b w:val="0"/>
          <w:i w:val="0"/>
          <w:color w:val="1F2933"/>
          <w:sz w:val="21"/>
        </w:rPr>
        <w:t>Large, slow Excel files and no executive-level reporting</w:t>
      </w:r>
    </w:p>
    <w:p>
      <w:pPr>
        <w:pStyle w:val="ListBullet"/>
        <w:spacing w:after="60"/>
      </w:pPr>
      <w:r>
        <w:rPr>
          <w:b w:val="0"/>
          <w:i w:val="0"/>
          <w:color w:val="1F2933"/>
          <w:sz w:val="21"/>
        </w:rPr>
        <w:t>Time spent maintaining spreadsheets instead of analyzing financials, with elevated error risk on a booked accrual</w:t>
      </w:r>
    </w:p>
    <w:tbl>
      <w:tblPr>
        <w:tblW w:type="auto" w:w="0"/>
        <w:tblLook w:firstColumn="1" w:firstRow="1" w:lastColumn="0" w:lastRow="0" w:noHBand="0" w:noVBand="1" w:val="04A0"/>
      </w:tblPr>
      <w:tblGrid>
        <w:gridCol w:w="8640"/>
      </w:tblGrid>
      <w:tr>
        <w:tc>
          <w:tcPr>
            <w:tcW w:type="dxa" w:w="8640"/>
            <w:shd w:val="clear" w:color="auto" w:fill="F5F8FB"/>
            <w:tcBorders>
              <w:left w:val="single" w:sz="24" w:space="0" w:color="00A9CE"/>
            </w:tcBorders>
          </w:tcPr>
          <w:p>
            <w:pPr>
              <w:spacing w:after="40"/>
            </w:pPr>
            <w:r>
              <w:rPr>
                <w:b/>
                <w:i w:val="0"/>
                <w:color w:val="003C71"/>
                <w:sz w:val="21"/>
              </w:rPr>
              <w:t>Cost of inaction (do-nothing baseline)</w:t>
            </w:r>
          </w:p>
          <w:p>
            <w:r>
              <w:rPr>
                <w:b w:val="0"/>
                <w:i w:val="0"/>
                <w:color w:val="1F2933"/>
                <w:sz w:val="20"/>
              </w:rPr>
              <w:t>Leave it as is and the process keeps taking an estimated three to four senior-analyst days a month. The errors also land on a number that is financially material, there is no consistent audit trail, and leadership has no real reporting to look at. It gets more fragile as volumes grow, and almost all of the know-how sits with one person.</w:t>
            </w:r>
          </w:p>
        </w:tc>
      </w:tr>
    </w:tbl>
    <w:p>
      <w:pPr>
        <w:spacing w:after="120" w:before="0"/>
      </w:pPr>
    </w:p>
    <w:p>
      <w:pPr>
        <w:spacing w:before="280" w:after="40"/>
        <w:pBdr>
          <w:bottom w:val="single" w:sz="6" w:space="2" w:color="00A9CE"/>
        </w:pBdr>
      </w:pPr>
      <w:r>
        <w:rPr>
          <w:b/>
          <w:i w:val="0"/>
          <w:color w:val="00A9CE"/>
          <w:sz w:val="28"/>
        </w:rPr>
        <w:t xml:space="preserve">3  </w:t>
      </w:r>
      <w:r>
        <w:rPr>
          <w:b/>
          <w:i w:val="0"/>
          <w:color w:val="00539B"/>
          <w:sz w:val="28"/>
        </w:rPr>
        <w:t>Strategic Alignment</w:t>
      </w:r>
    </w:p>
    <w:p>
      <w:pPr>
        <w:spacing w:after="60"/>
      </w:pPr>
      <w:r>
        <w:rPr>
          <w:b w:val="0"/>
          <w:i w:val="0"/>
          <w:color w:val="1F2933"/>
          <w:sz w:val="21"/>
        </w:rPr>
        <w:t>The initiative directly advances Veralto Enterprise System (VES) principles:</w:t>
      </w:r>
    </w:p>
    <w:p>
      <w:pPr>
        <w:pStyle w:val="ListBullet"/>
        <w:spacing w:after="60"/>
      </w:pPr>
      <w:r>
        <w:rPr>
          <w:b w:val="0"/>
          <w:i w:val="0"/>
          <w:color w:val="1F2933"/>
          <w:sz w:val="21"/>
        </w:rPr>
        <w:t>Continuous improvement and lean: eliminates repetitive, low-value manual work and standardizes a recurring close activity.</w:t>
      </w:r>
    </w:p>
    <w:p>
      <w:pPr>
        <w:pStyle w:val="ListBullet"/>
        <w:spacing w:after="60"/>
      </w:pPr>
      <w:r>
        <w:rPr>
          <w:b w:val="0"/>
          <w:i w:val="0"/>
          <w:color w:val="1F2933"/>
          <w:sz w:val="21"/>
        </w:rPr>
        <w:t>Quality and problem-solving: removes fragile pivot/formula dependencies that are a root cause of month-end errors.</w:t>
      </w:r>
    </w:p>
    <w:p>
      <w:pPr>
        <w:pStyle w:val="ListBullet"/>
        <w:spacing w:after="60"/>
      </w:pPr>
      <w:r>
        <w:rPr>
          <w:b w:val="0"/>
          <w:i w:val="0"/>
          <w:color w:val="1F2933"/>
          <w:sz w:val="21"/>
        </w:rPr>
        <w:t>Customer-centricity (internal): delivers accounting-ready output and clear executive visibility for Finance stakeholders.</w:t>
      </w:r>
    </w:p>
    <w:p>
      <w:pPr>
        <w:spacing w:after="60"/>
      </w:pPr>
      <w:r>
        <w:rPr>
          <w:b w:val="0"/>
          <w:i w:val="0"/>
          <w:color w:val="1F2933"/>
          <w:sz w:val="21"/>
        </w:rPr>
        <w:t>It should also ladder up to [STRATEGIC PRIORITY], whichever priority your org is tracking this against, for example finance transformation, a faster close, or tighter controls. Drop in the right one.</w:t>
      </w:r>
    </w:p>
    <w:p>
      <w:pPr>
        <w:spacing w:before="280" w:after="40"/>
        <w:pBdr>
          <w:bottom w:val="single" w:sz="6" w:space="2" w:color="00A9CE"/>
        </w:pBdr>
      </w:pPr>
      <w:r>
        <w:rPr>
          <w:b/>
          <w:i w:val="0"/>
          <w:color w:val="00A9CE"/>
          <w:sz w:val="28"/>
        </w:rPr>
        <w:t xml:space="preserve">4  </w:t>
      </w:r>
      <w:r>
        <w:rPr>
          <w:b/>
          <w:i w:val="0"/>
          <w:color w:val="00539B"/>
          <w:sz w:val="28"/>
        </w:rPr>
        <w:t>Proposed Solution and Scope</w:t>
      </w:r>
    </w:p>
    <w:p>
      <w:pPr>
        <w:spacing w:after="60"/>
      </w:pPr>
      <w:r>
        <w:rPr>
          <w:b w:val="0"/>
          <w:i w:val="0"/>
          <w:color w:val="1F2933"/>
          <w:sz w:val="21"/>
        </w:rPr>
        <w:t>Build a tool that takes in the two commission workbooks, checks and maps the data, applies the commission logic already in use, and writes out a single new workbook that is ready for Accounting. It never touches the source files.</w:t>
      </w:r>
    </w:p>
    <w:p>
      <w:pPr>
        <w:spacing w:before="160" w:after="20"/>
      </w:pPr>
      <w:r>
        <w:rPr>
          <w:b/>
          <w:i w:val="0"/>
          <w:color w:val="003C71"/>
          <w:sz w:val="22"/>
        </w:rPr>
        <w:t>Core capabilities</w:t>
      </w:r>
    </w:p>
    <w:p>
      <w:pPr>
        <w:pStyle w:val="ListBullet"/>
        <w:spacing w:after="60"/>
      </w:pPr>
      <w:r>
        <w:rPr>
          <w:b w:val="0"/>
          <w:i w:val="0"/>
          <w:color w:val="1F2933"/>
          <w:sz w:val="21"/>
        </w:rPr>
        <w:t>Guided workbook mapping: proposes which file is Payment Made vs Payment Remaining and requires user confirmation before processing. It never assumes the mapping.</w:t>
      </w:r>
    </w:p>
    <w:p>
      <w:pPr>
        <w:pStyle w:val="ListBullet"/>
        <w:spacing w:after="60"/>
      </w:pPr>
      <w:r>
        <w:rPr>
          <w:b w:val="0"/>
          <w:i w:val="0"/>
          <w:color w:val="1F2933"/>
          <w:sz w:val="21"/>
        </w:rPr>
        <w:t>Automated validation: required columns, missing Cost Centers or Bill-To Account Numbers, blank/invalid/negative values, and duplicates; reports imported row counts and whether screenshots are included.</w:t>
      </w:r>
    </w:p>
    <w:p>
      <w:pPr>
        <w:pStyle w:val="ListBullet"/>
        <w:spacing w:after="60"/>
      </w:pPr>
      <w:r>
        <w:rPr>
          <w:b w:val="0"/>
          <w:i w:val="0"/>
          <w:color w:val="1F2933"/>
          <w:sz w:val="21"/>
        </w:rPr>
        <w:t>Fiscal-aware three-day forecast: auto-derives the fiscal divisor from the Fiscal Period (four-week uses 17, five-week uses 22). The user is never asked which divisor to use, only for the Fiscal Period if it cannot be determined automatically.</w:t>
      </w:r>
    </w:p>
    <w:p>
      <w:pPr>
        <w:pStyle w:val="ListBullet"/>
        <w:spacing w:after="60"/>
      </w:pPr>
      <w:r>
        <w:rPr>
          <w:b w:val="0"/>
          <w:i w:val="0"/>
          <w:color w:val="1F2933"/>
          <w:sz w:val="21"/>
        </w:rPr>
        <w:t>Aging analysis on Payment Remaining (Current, 31 to 60, 61 to 90, 91 to 180, 181 to 365, Over 365 days) for visibility into outstanding liabilities.</w:t>
      </w:r>
    </w:p>
    <w:p>
      <w:pPr>
        <w:pStyle w:val="ListBullet"/>
        <w:spacing w:after="60"/>
      </w:pPr>
      <w:r>
        <w:rPr>
          <w:b w:val="0"/>
          <w:i w:val="0"/>
          <w:color w:val="1F2933"/>
          <w:sz w:val="21"/>
        </w:rPr>
        <w:t>Audit evidence preservation: Oracle BI screenshot sheets copied into the output with original formatting. No OCR, no interpretation, no row-count comparison.</w:t>
      </w:r>
    </w:p>
    <w:p>
      <w:pPr>
        <w:pStyle w:val="ListBullet"/>
        <w:spacing w:after="60"/>
      </w:pPr>
      <w:r>
        <w:rPr>
          <w:b w:val="0"/>
          <w:i w:val="0"/>
          <w:color w:val="1F2933"/>
          <w:sz w:val="21"/>
        </w:rPr>
        <w:t>Executive dashboard and AI commentary: KPI cards, accrual by month, top cost centers/accounts, Payment Made vs Remaining split, aging distribution, and a data-supported narrative (no speculation). Charts use summarized data only.</w:t>
      </w:r>
    </w:p>
    <w:p>
      <w:pPr>
        <w:spacing w:before="160" w:after="20"/>
      </w:pPr>
      <w:r>
        <w:rPr>
          <w:b/>
          <w:i w:val="0"/>
          <w:color w:val="003C71"/>
          <w:sz w:val="22"/>
        </w:rPr>
        <w:t>Output workbook (12 sheets)</w:t>
      </w:r>
    </w:p>
    <w:p>
      <w:pPr>
        <w:spacing w:after="60"/>
      </w:pPr>
      <w:r>
        <w:rPr>
          <w:b w:val="0"/>
          <w:i w:val="0"/>
          <w:color w:val="1F2933"/>
          <w:sz w:val="21"/>
        </w:rPr>
        <w:t>Executive Summary, Configuration, Month-Year Summary, Cost Center Summary, Cost Center plus Account Summary (primary booking view), Account Summary, Aging Summary, Payment Made Detail, Payment Remaining Detail, Validation Report, Audit Evidence, and Executive Dashboard.</w:t>
      </w:r>
    </w:p>
    <w:p>
      <w:pPr>
        <w:spacing w:before="160" w:after="20"/>
      </w:pPr>
      <w:r>
        <w:rPr>
          <w:b/>
          <w:i w:val="0"/>
          <w:color w:val="003C71"/>
          <w:sz w:val="22"/>
        </w:rPr>
        <w:t>Key business logic</w:t>
      </w:r>
    </w:p>
    <w:tbl>
      <w:tblPr>
        <w:tblStyle w:val="TableGrid"/>
        <w:tblW w:type="auto" w:w="0"/>
        <w:jc w:val="center"/>
        <w:tblLook w:firstColumn="1" w:firstRow="1" w:lastColumn="0" w:lastRow="0" w:noHBand="0" w:noVBand="1" w:val="04A0"/>
      </w:tblPr>
      <w:tblGrid>
        <w:gridCol w:w="4320"/>
        <w:gridCol w:w="4320"/>
      </w:tblGrid>
      <w:tr>
        <w:tc>
          <w:tcPr>
            <w:tcW w:type="dxa" w:w="2880"/>
            <w:shd w:val="clear" w:color="auto" w:fill="003C71"/>
          </w:tcPr>
          <w:p>
            <w:pPr>
              <w:spacing w:after="20" w:before="20"/>
            </w:pPr>
            <w:r>
              <w:rPr>
                <w:b/>
                <w:i w:val="0"/>
                <w:color w:val="FFFFFF"/>
                <w:sz w:val="19"/>
              </w:rPr>
              <w:t>Measure</w:t>
            </w:r>
          </w:p>
        </w:tc>
        <w:tc>
          <w:tcPr>
            <w:tcW w:type="dxa" w:w="6480"/>
            <w:shd w:val="clear" w:color="auto" w:fill="003C71"/>
          </w:tcPr>
          <w:p>
            <w:pPr>
              <w:spacing w:after="20" w:before="20"/>
            </w:pPr>
            <w:r>
              <w:rPr>
                <w:b/>
                <w:i w:val="0"/>
                <w:color w:val="FFFFFF"/>
                <w:sz w:val="19"/>
              </w:rPr>
              <w:t>Definition</w:t>
            </w:r>
          </w:p>
        </w:tc>
      </w:tr>
      <w:tr>
        <w:tc>
          <w:tcPr>
            <w:tcW w:type="dxa" w:w="2880"/>
          </w:tcPr>
          <w:p>
            <w:pPr>
              <w:spacing w:after="20" w:before="20"/>
            </w:pPr>
            <w:r>
              <w:rPr>
                <w:b w:val="0"/>
                <w:i w:val="0"/>
                <w:color w:val="1F2933"/>
                <w:sz w:val="19"/>
              </w:rPr>
              <w:t>Payment Made Total</w:t>
            </w:r>
          </w:p>
        </w:tc>
        <w:tc>
          <w:tcPr>
            <w:tcW w:type="dxa" w:w="6480"/>
          </w:tcPr>
          <w:p>
            <w:pPr>
              <w:spacing w:after="20" w:before="20"/>
            </w:pPr>
            <w:r>
              <w:rPr>
                <w:b w:val="0"/>
                <w:i w:val="0"/>
                <w:color w:val="1F2933"/>
                <w:sz w:val="19"/>
              </w:rPr>
              <w:t>Sum of Commission Amount (payable now, customer payment received)</w:t>
            </w:r>
          </w:p>
        </w:tc>
      </w:tr>
      <w:tr>
        <w:tc>
          <w:tcPr>
            <w:tcW w:type="dxa" w:w="2880"/>
            <w:shd w:val="clear" w:color="auto" w:fill="F5F8FB"/>
          </w:tcPr>
          <w:p>
            <w:pPr>
              <w:spacing w:after="20" w:before="20"/>
            </w:pPr>
            <w:r>
              <w:rPr>
                <w:b w:val="0"/>
                <w:i w:val="0"/>
                <w:color w:val="1F2933"/>
                <w:sz w:val="19"/>
              </w:rPr>
              <w:t>Payment Remaining Total</w:t>
            </w:r>
          </w:p>
        </w:tc>
        <w:tc>
          <w:tcPr>
            <w:tcW w:type="dxa" w:w="6480"/>
            <w:shd w:val="clear" w:color="auto" w:fill="F5F8FB"/>
          </w:tcPr>
          <w:p>
            <w:pPr>
              <w:spacing w:after="20" w:before="20"/>
            </w:pPr>
            <w:r>
              <w:rPr>
                <w:b w:val="0"/>
                <w:i w:val="0"/>
                <w:color w:val="1F2933"/>
                <w:sz w:val="19"/>
              </w:rPr>
              <w:t>Sum of Commission Amount (future liability, payment not yet received)</w:t>
            </w:r>
          </w:p>
        </w:tc>
      </w:tr>
      <w:tr>
        <w:tc>
          <w:tcPr>
            <w:tcW w:type="dxa" w:w="2880"/>
          </w:tcPr>
          <w:p>
            <w:pPr>
              <w:spacing w:after="20" w:before="20"/>
            </w:pPr>
            <w:r>
              <w:rPr>
                <w:b w:val="0"/>
                <w:i w:val="0"/>
                <w:color w:val="1F2933"/>
                <w:sz w:val="19"/>
              </w:rPr>
              <w:t>Estimated Commission</w:t>
            </w:r>
          </w:p>
        </w:tc>
        <w:tc>
          <w:tcPr>
            <w:tcW w:type="dxa" w:w="6480"/>
          </w:tcPr>
          <w:p>
            <w:pPr>
              <w:spacing w:after="20" w:before="20"/>
            </w:pPr>
            <w:r>
              <w:rPr>
                <w:b w:val="0"/>
                <w:i w:val="0"/>
                <w:color w:val="1F2933"/>
                <w:sz w:val="19"/>
              </w:rPr>
              <w:t>(Payment Made Total / Fiscal Divisor) x 3 remaining business days</w:t>
            </w:r>
          </w:p>
        </w:tc>
      </w:tr>
      <w:tr>
        <w:tc>
          <w:tcPr>
            <w:tcW w:type="dxa" w:w="2880"/>
            <w:shd w:val="clear" w:color="auto" w:fill="F5F8FB"/>
          </w:tcPr>
          <w:p>
            <w:pPr>
              <w:spacing w:after="20" w:before="20"/>
            </w:pPr>
            <w:r>
              <w:rPr>
                <w:b w:val="0"/>
                <w:i w:val="0"/>
                <w:color w:val="1F2933"/>
                <w:sz w:val="19"/>
              </w:rPr>
              <w:t>Final Accrual</w:t>
            </w:r>
          </w:p>
        </w:tc>
        <w:tc>
          <w:tcPr>
            <w:tcW w:type="dxa" w:w="6480"/>
            <w:shd w:val="clear" w:color="auto" w:fill="F5F8FB"/>
          </w:tcPr>
          <w:p>
            <w:pPr>
              <w:spacing w:after="20" w:before="20"/>
            </w:pPr>
            <w:r>
              <w:rPr>
                <w:b w:val="0"/>
                <w:i w:val="0"/>
                <w:color w:val="1F2933"/>
                <w:sz w:val="19"/>
              </w:rPr>
              <w:t>Payment Made + Payment Remaining + Estimated Commission</w:t>
            </w:r>
          </w:p>
        </w:tc>
      </w:tr>
    </w:tbl>
    <w:p>
      <w:pPr>
        <w:spacing w:after="120" w:before="0"/>
      </w:pPr>
    </w:p>
    <w:p>
      <w:pPr>
        <w:spacing w:before="160" w:after="20"/>
      </w:pPr>
      <w:r>
        <w:rPr>
          <w:b/>
          <w:i w:val="0"/>
          <w:color w:val="003C71"/>
          <w:sz w:val="22"/>
        </w:rPr>
        <w:t>In scope (Solution 1)</w:t>
      </w:r>
    </w:p>
    <w:p>
      <w:pPr>
        <w:pStyle w:val="ListBullet"/>
        <w:spacing w:after="60"/>
      </w:pPr>
      <w:r>
        <w:rPr>
          <w:b w:val="0"/>
          <w:i w:val="0"/>
          <w:color w:val="1F2933"/>
          <w:sz w:val="21"/>
        </w:rPr>
        <w:t>Payment Made and Payment Remaining workbooks</w:t>
      </w:r>
    </w:p>
    <w:p>
      <w:pPr>
        <w:pStyle w:val="ListBullet"/>
        <w:spacing w:after="60"/>
      </w:pPr>
      <w:r>
        <w:rPr>
          <w:b w:val="0"/>
          <w:i w:val="0"/>
          <w:color w:val="1F2933"/>
          <w:sz w:val="21"/>
        </w:rPr>
        <w:t>Validation, mapping confirmation, three-day forecasting</w:t>
      </w:r>
    </w:p>
    <w:p>
      <w:pPr>
        <w:pStyle w:val="ListBullet"/>
        <w:spacing w:after="60"/>
      </w:pPr>
      <w:r>
        <w:rPr>
          <w:b w:val="0"/>
          <w:i w:val="0"/>
          <w:color w:val="1F2933"/>
          <w:sz w:val="21"/>
        </w:rPr>
        <w:t>All summaries, aging, dashboard, commentary</w:t>
      </w:r>
    </w:p>
    <w:p>
      <w:pPr>
        <w:pStyle w:val="ListBullet"/>
        <w:spacing w:after="60"/>
      </w:pPr>
      <w:r>
        <w:rPr>
          <w:b w:val="0"/>
          <w:i w:val="0"/>
          <w:color w:val="1F2933"/>
          <w:sz w:val="21"/>
        </w:rPr>
        <w:t>Audit-evidence preservation and accounting-ready output workbook</w:t>
      </w:r>
    </w:p>
    <w:p>
      <w:pPr>
        <w:spacing w:before="160" w:after="20"/>
      </w:pPr>
      <w:r>
        <w:rPr>
          <w:b/>
          <w:i w:val="0"/>
          <w:color w:val="003C71"/>
          <w:sz w:val="22"/>
        </w:rPr>
        <w:t>Out of scope (goes to Solution 2)</w:t>
      </w:r>
    </w:p>
    <w:p>
      <w:pPr>
        <w:pStyle w:val="ListBullet"/>
        <w:spacing w:after="60"/>
      </w:pPr>
      <w:r>
        <w:rPr>
          <w:b w:val="0"/>
          <w:i w:val="0"/>
          <w:color w:val="1F2933"/>
          <w:sz w:val="21"/>
        </w:rPr>
        <w:t>GL Supplemental reporting</w:t>
      </w:r>
    </w:p>
    <w:p>
      <w:pPr>
        <w:pStyle w:val="ListBullet"/>
        <w:spacing w:after="60"/>
      </w:pPr>
      <w:r>
        <w:rPr>
          <w:b w:val="0"/>
          <w:i w:val="0"/>
          <w:color w:val="1F2933"/>
          <w:sz w:val="21"/>
        </w:rPr>
        <w:t>Vendor payment analysis and views (by vendor, cost center, account)</w:t>
      </w:r>
    </w:p>
    <w:p>
      <w:pPr>
        <w:pStyle w:val="ListBullet"/>
        <w:spacing w:after="60"/>
      </w:pPr>
      <w:r>
        <w:rPr>
          <w:b w:val="0"/>
          <w:i w:val="0"/>
          <w:color w:val="1F2933"/>
          <w:sz w:val="21"/>
        </w:rPr>
        <w:t>JE Source filtering (exclude manual journal entries)</w:t>
      </w:r>
    </w:p>
    <w:p>
      <w:pPr>
        <w:pStyle w:val="ListBullet"/>
        <w:spacing w:after="60"/>
      </w:pPr>
      <w:r>
        <w:rPr>
          <w:b w:val="0"/>
          <w:i w:val="0"/>
          <w:color w:val="1F2933"/>
          <w:sz w:val="21"/>
        </w:rPr>
        <w:t>External commission-vendor payment visibility</w:t>
      </w:r>
    </w:p>
    <w:p>
      <w:pPr>
        <w:spacing w:before="280" w:after="40"/>
        <w:pBdr>
          <w:bottom w:val="single" w:sz="6" w:space="2" w:color="00A9CE"/>
        </w:pBdr>
      </w:pPr>
      <w:r>
        <w:rPr>
          <w:b/>
          <w:i w:val="0"/>
          <w:color w:val="00A9CE"/>
          <w:sz w:val="28"/>
        </w:rPr>
        <w:t xml:space="preserve">5  </w:t>
      </w:r>
      <w:r>
        <w:rPr>
          <w:b/>
          <w:i w:val="0"/>
          <w:color w:val="00539B"/>
          <w:sz w:val="28"/>
        </w:rPr>
        <w:t>Options Considered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448"/>
            <w:shd w:val="clear" w:color="auto" w:fill="003C71"/>
          </w:tcPr>
          <w:p>
            <w:pPr>
              <w:spacing w:after="20" w:before="20"/>
            </w:pPr>
            <w:r>
              <w:rPr>
                <w:b/>
                <w:i w:val="0"/>
                <w:color w:val="FFFFFF"/>
                <w:sz w:val="19"/>
              </w:rPr>
              <w:t>Option</w:t>
            </w:r>
          </w:p>
        </w:tc>
        <w:tc>
          <w:tcPr>
            <w:tcW w:type="dxa" w:w="3168"/>
            <w:shd w:val="clear" w:color="auto" w:fill="003C71"/>
          </w:tcPr>
          <w:p>
            <w:pPr>
              <w:spacing w:after="20" w:before="20"/>
            </w:pPr>
            <w:r>
              <w:rPr>
                <w:b/>
                <w:i w:val="0"/>
                <w:color w:val="FFFFFF"/>
                <w:sz w:val="19"/>
              </w:rPr>
              <w:t>Pros</w:t>
            </w:r>
          </w:p>
        </w:tc>
        <w:tc>
          <w:tcPr>
            <w:tcW w:type="dxa" w:w="3168"/>
            <w:shd w:val="clear" w:color="auto" w:fill="003C71"/>
          </w:tcPr>
          <w:p>
            <w:pPr>
              <w:spacing w:after="20" w:before="20"/>
            </w:pPr>
            <w:r>
              <w:rPr>
                <w:b/>
                <w:i w:val="0"/>
                <w:color w:val="FFFFFF"/>
                <w:sz w:val="19"/>
              </w:rPr>
              <w:t>Cons</w:t>
            </w:r>
          </w:p>
        </w:tc>
        <w:tc>
          <w:tcPr>
            <w:tcW w:type="dxa" w:w="1008"/>
            <w:shd w:val="clear" w:color="auto" w:fill="003C71"/>
          </w:tcPr>
          <w:p>
            <w:pPr>
              <w:spacing w:after="20" w:before="20"/>
              <w:jc w:val="right"/>
            </w:pPr>
            <w:r>
              <w:rPr>
                <w:b/>
                <w:i w:val="0"/>
                <w:color w:val="FFFFFF"/>
                <w:sz w:val="19"/>
              </w:rPr>
              <w:t>Rel. cost</w:t>
            </w:r>
          </w:p>
        </w:tc>
      </w:tr>
      <w:tr>
        <w:tc>
          <w:tcPr>
            <w:tcW w:type="dxa" w:w="2448"/>
          </w:tcPr>
          <w:p>
            <w:pPr>
              <w:spacing w:after="20" w:before="20"/>
            </w:pPr>
            <w:r>
              <w:rPr>
                <w:b w:val="0"/>
                <w:i w:val="0"/>
                <w:color w:val="1F2933"/>
                <w:sz w:val="19"/>
              </w:rPr>
              <w:t>A. Do nothing (status quo)</w:t>
            </w:r>
          </w:p>
        </w:tc>
        <w:tc>
          <w:tcPr>
            <w:tcW w:type="dxa" w:w="3168"/>
          </w:tcPr>
          <w:p>
            <w:pPr>
              <w:spacing w:after="20" w:before="20"/>
            </w:pPr>
            <w:r>
              <w:rPr>
                <w:b w:val="0"/>
                <w:i w:val="0"/>
                <w:color w:val="1F2933"/>
                <w:sz w:val="19"/>
              </w:rPr>
              <w:t>No investment</w:t>
            </w:r>
          </w:p>
        </w:tc>
        <w:tc>
          <w:tcPr>
            <w:tcW w:type="dxa" w:w="3168"/>
          </w:tcPr>
          <w:p>
            <w:pPr>
              <w:spacing w:after="20" w:before="20"/>
            </w:pPr>
            <w:r>
              <w:rPr>
                <w:b w:val="0"/>
                <w:i w:val="0"/>
                <w:color w:val="1F2933"/>
                <w:sz w:val="19"/>
              </w:rPr>
              <w:t>Ongoing manual effort, error risk, no audit trail or executive reporting; worsens with volume</w:t>
            </w:r>
          </w:p>
        </w:tc>
        <w:tc>
          <w:tcPr>
            <w:tcW w:type="dxa" w:w="1008"/>
          </w:tcPr>
          <w:p>
            <w:pPr>
              <w:spacing w:after="20" w:before="20"/>
              <w:jc w:val="right"/>
            </w:pPr>
            <w:r>
              <w:rPr>
                <w:b w:val="0"/>
                <w:i w:val="0"/>
                <w:color w:val="1F2933"/>
                <w:sz w:val="19"/>
              </w:rPr>
              <w:t>None</w:t>
            </w:r>
          </w:p>
        </w:tc>
      </w:tr>
      <w:tr>
        <w:tc>
          <w:tcPr>
            <w:tcW w:type="dxa" w:w="2448"/>
            <w:shd w:val="clear" w:color="auto" w:fill="F5F8FB"/>
          </w:tcPr>
          <w:p>
            <w:pPr>
              <w:spacing w:after="20" w:before="20"/>
            </w:pPr>
            <w:r>
              <w:rPr>
                <w:b w:val="0"/>
                <w:i w:val="0"/>
                <w:color w:val="1F2933"/>
                <w:sz w:val="19"/>
              </w:rPr>
              <w:t>B. Improve Excel (templates/macros)</w:t>
            </w:r>
          </w:p>
        </w:tc>
        <w:tc>
          <w:tcPr>
            <w:tcW w:type="dxa" w:w="3168"/>
            <w:shd w:val="clear" w:color="auto" w:fill="F5F8FB"/>
          </w:tcPr>
          <w:p>
            <w:pPr>
              <w:spacing w:after="20" w:before="20"/>
            </w:pPr>
            <w:r>
              <w:rPr>
                <w:b w:val="0"/>
                <w:i w:val="0"/>
                <w:color w:val="1F2933"/>
                <w:sz w:val="19"/>
              </w:rPr>
              <w:t>Low cost; familiar</w:t>
            </w:r>
          </w:p>
        </w:tc>
        <w:tc>
          <w:tcPr>
            <w:tcW w:type="dxa" w:w="3168"/>
            <w:shd w:val="clear" w:color="auto" w:fill="F5F8FB"/>
          </w:tcPr>
          <w:p>
            <w:pPr>
              <w:spacing w:after="20" w:before="20"/>
            </w:pPr>
            <w:r>
              <w:rPr>
                <w:b w:val="0"/>
                <w:i w:val="0"/>
                <w:color w:val="1F2933"/>
                <w:sz w:val="19"/>
              </w:rPr>
              <w:t>Still pivot/formula-dependent and fragile; limited validation, dashboard, or audit control</w:t>
            </w:r>
          </w:p>
        </w:tc>
        <w:tc>
          <w:tcPr>
            <w:tcW w:type="dxa" w:w="1008"/>
            <w:shd w:val="clear" w:color="auto" w:fill="F5F8FB"/>
          </w:tcPr>
          <w:p>
            <w:pPr>
              <w:spacing w:after="20" w:before="20"/>
              <w:jc w:val="right"/>
            </w:pPr>
            <w:r>
              <w:rPr>
                <w:b w:val="0"/>
                <w:i w:val="0"/>
                <w:color w:val="1F2933"/>
                <w:sz w:val="19"/>
              </w:rPr>
              <w:t>Low</w:t>
            </w:r>
          </w:p>
        </w:tc>
      </w:tr>
      <w:tr>
        <w:tc>
          <w:tcPr>
            <w:tcW w:type="dxa" w:w="2448"/>
            <w:shd w:val="clear" w:color="auto" w:fill="E7F6EA"/>
          </w:tcPr>
          <w:p>
            <w:pPr>
              <w:spacing w:after="20" w:before="20"/>
            </w:pPr>
            <w:r>
              <w:rPr>
                <w:b/>
                <w:i w:val="0"/>
                <w:color w:val="1F2933"/>
                <w:sz w:val="19"/>
              </w:rPr>
              <w:t>C. Purpose-built automation (Recommended)</w:t>
            </w:r>
          </w:p>
        </w:tc>
        <w:tc>
          <w:tcPr>
            <w:tcW w:type="dxa" w:w="3168"/>
            <w:shd w:val="clear" w:color="auto" w:fill="E7F6EA"/>
          </w:tcPr>
          <w:p>
            <w:pPr>
              <w:spacing w:after="20" w:before="20"/>
            </w:pPr>
            <w:r>
              <w:rPr>
                <w:b w:val="0"/>
                <w:i w:val="0"/>
                <w:color w:val="1F2933"/>
                <w:sz w:val="19"/>
              </w:rPr>
              <w:t>Removes manual work and pivots; built-in validation, forecasting, aging, dashboard, audit preservation; accounting-ready</w:t>
            </w:r>
          </w:p>
        </w:tc>
        <w:tc>
          <w:tcPr>
            <w:tcW w:type="dxa" w:w="3168"/>
            <w:shd w:val="clear" w:color="auto" w:fill="E7F6EA"/>
          </w:tcPr>
          <w:p>
            <w:pPr>
              <w:spacing w:after="20" w:before="20"/>
            </w:pPr>
            <w:r>
              <w:rPr>
                <w:b w:val="0"/>
                <w:i w:val="0"/>
                <w:color w:val="1F2933"/>
                <w:sz w:val="19"/>
              </w:rPr>
              <w:t>Requires development and UAT investment</w:t>
            </w:r>
          </w:p>
        </w:tc>
        <w:tc>
          <w:tcPr>
            <w:tcW w:type="dxa" w:w="1008"/>
            <w:shd w:val="clear" w:color="auto" w:fill="E7F6EA"/>
          </w:tcPr>
          <w:p>
            <w:pPr>
              <w:spacing w:after="20" w:before="20"/>
              <w:jc w:val="right"/>
            </w:pPr>
            <w:r>
              <w:rPr>
                <w:b w:val="0"/>
                <w:i w:val="0"/>
                <w:color w:val="1F2933"/>
                <w:sz w:val="19"/>
              </w:rPr>
              <w:t>Medium</w:t>
            </w:r>
          </w:p>
        </w:tc>
      </w:tr>
      <w:tr>
        <w:tc>
          <w:tcPr>
            <w:tcW w:type="dxa" w:w="2448"/>
            <w:shd w:val="clear" w:color="auto" w:fill="F5F8FB"/>
          </w:tcPr>
          <w:p>
            <w:pPr>
              <w:spacing w:after="20" w:before="20"/>
            </w:pPr>
            <w:r>
              <w:rPr>
                <w:b w:val="0"/>
                <w:i w:val="0"/>
                <w:color w:val="1F2933"/>
                <w:sz w:val="19"/>
              </w:rPr>
              <w:t>D. Commercial commission software</w:t>
            </w:r>
          </w:p>
        </w:tc>
        <w:tc>
          <w:tcPr>
            <w:tcW w:type="dxa" w:w="3168"/>
            <w:shd w:val="clear" w:color="auto" w:fill="F5F8FB"/>
          </w:tcPr>
          <w:p>
            <w:pPr>
              <w:spacing w:after="20" w:before="20"/>
            </w:pPr>
            <w:r>
              <w:rPr>
                <w:b w:val="0"/>
                <w:i w:val="0"/>
                <w:color w:val="1F2933"/>
                <w:sz w:val="19"/>
              </w:rPr>
              <w:t>Vendor-supported, feature-rich</w:t>
            </w:r>
          </w:p>
        </w:tc>
        <w:tc>
          <w:tcPr>
            <w:tcW w:type="dxa" w:w="3168"/>
            <w:shd w:val="clear" w:color="auto" w:fill="F5F8FB"/>
          </w:tcPr>
          <w:p>
            <w:pPr>
              <w:spacing w:after="20" w:before="20"/>
            </w:pPr>
            <w:r>
              <w:rPr>
                <w:b w:val="0"/>
                <w:i w:val="0"/>
                <w:color w:val="1F2933"/>
                <w:sz w:val="19"/>
              </w:rPr>
              <w:t>High cost and licensing; heavy integration; likely over-scoped</w:t>
            </w:r>
          </w:p>
        </w:tc>
        <w:tc>
          <w:tcPr>
            <w:tcW w:type="dxa" w:w="1008"/>
            <w:shd w:val="clear" w:color="auto" w:fill="F5F8FB"/>
          </w:tcPr>
          <w:p>
            <w:pPr>
              <w:spacing w:after="20" w:before="20"/>
              <w:jc w:val="right"/>
            </w:pPr>
            <w:r>
              <w:rPr>
                <w:b w:val="0"/>
                <w:i w:val="0"/>
                <w:color w:val="1F2933"/>
                <w:sz w:val="19"/>
              </w:rPr>
              <w:t>High</w:t>
            </w:r>
          </w:p>
        </w:tc>
      </w:tr>
    </w:tbl>
    <w:p>
      <w:pPr>
        <w:spacing w:after="120" w:before="0"/>
      </w:pPr>
    </w:p>
    <w:p>
      <w:pPr>
        <w:spacing w:after="60"/>
      </w:pPr>
      <w:r>
        <w:rPr>
          <w:b/>
          <w:i w:val="0"/>
          <w:color w:val="003C71"/>
          <w:sz w:val="21"/>
        </w:rPr>
        <w:t xml:space="preserve">Why C wins: </w:t>
      </w:r>
      <w:r>
        <w:rPr>
          <w:b w:val="0"/>
          <w:i w:val="0"/>
          <w:color w:val="1F2933"/>
          <w:sz w:val="21"/>
        </w:rPr>
        <w:t>it fixes the exact things that break today (copy/paste, pivot refreshes, hand-done forecasting) and still delivers the validation, audit trail, and executive views we need, without the cost and integration effort of a full commercial platform.</w:t>
      </w:r>
    </w:p>
    <w:p>
      <w:pPr>
        <w:spacing w:before="280" w:after="40"/>
        <w:pBdr>
          <w:bottom w:val="single" w:sz="6" w:space="2" w:color="00A9CE"/>
        </w:pBdr>
      </w:pPr>
      <w:r>
        <w:rPr>
          <w:b/>
          <w:i w:val="0"/>
          <w:color w:val="00A9CE"/>
          <w:sz w:val="28"/>
        </w:rPr>
        <w:t xml:space="preserve">6  </w:t>
      </w:r>
      <w:r>
        <w:rPr>
          <w:b/>
          <w:i w:val="0"/>
          <w:color w:val="00539B"/>
          <w:sz w:val="28"/>
        </w:rPr>
        <w:t>Benefits</w:t>
      </w:r>
    </w:p>
    <w:p>
      <w:pPr>
        <w:spacing w:before="160" w:after="20"/>
      </w:pPr>
      <w:r>
        <w:rPr>
          <w:b/>
          <w:i w:val="0"/>
          <w:color w:val="003C71"/>
          <w:sz w:val="22"/>
        </w:rPr>
        <w:t>Quantified (estimate)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03C71"/>
          </w:tcPr>
          <w:p>
            <w:pPr>
              <w:spacing w:after="20" w:before="20"/>
            </w:pPr>
            <w:r>
              <w:rPr>
                <w:b/>
                <w:i w:val="0"/>
                <w:color w:val="FFFFFF"/>
                <w:sz w:val="19"/>
              </w:rPr>
              <w:t>Benefit</w:t>
            </w:r>
          </w:p>
        </w:tc>
        <w:tc>
          <w:tcPr>
            <w:tcW w:type="dxa" w:w="4896"/>
            <w:shd w:val="clear" w:color="auto" w:fill="003C71"/>
          </w:tcPr>
          <w:p>
            <w:pPr>
              <w:spacing w:after="20" w:before="20"/>
            </w:pPr>
            <w:r>
              <w:rPr>
                <w:b/>
                <w:i w:val="0"/>
                <w:color w:val="FFFFFF"/>
                <w:sz w:val="19"/>
              </w:rPr>
              <w:t>Basis</w:t>
            </w:r>
          </w:p>
        </w:tc>
        <w:tc>
          <w:tcPr>
            <w:tcW w:type="dxa" w:w="1584"/>
            <w:shd w:val="clear" w:color="auto" w:fill="003C71"/>
          </w:tcPr>
          <w:p>
            <w:pPr>
              <w:spacing w:after="20" w:before="20"/>
              <w:jc w:val="right"/>
            </w:pPr>
            <w:r>
              <w:rPr>
                <w:b/>
                <w:i w:val="0"/>
                <w:color w:val="FFFFFF"/>
                <w:sz w:val="19"/>
              </w:rPr>
              <w:t>Annual value</w:t>
            </w:r>
          </w:p>
        </w:tc>
      </w:tr>
      <w:tr>
        <w:tc>
          <w:tcPr>
            <w:tcW w:type="dxa" w:w="2880"/>
          </w:tcPr>
          <w:p>
            <w:pPr>
              <w:spacing w:after="20" w:before="20"/>
            </w:pPr>
            <w:r>
              <w:rPr>
                <w:b w:val="0"/>
                <w:i w:val="0"/>
                <w:color w:val="1F2933"/>
                <w:sz w:val="19"/>
              </w:rPr>
              <w:t>Analyst time saved</w:t>
            </w:r>
          </w:p>
        </w:tc>
        <w:tc>
          <w:tcPr>
            <w:tcW w:type="dxa" w:w="4896"/>
          </w:tcPr>
          <w:p>
            <w:pPr>
              <w:spacing w:after="20" w:before="20"/>
            </w:pPr>
            <w:r>
              <w:rPr>
                <w:b w:val="0"/>
                <w:i w:val="0"/>
                <w:color w:val="1F2933"/>
                <w:sz w:val="19"/>
              </w:rPr>
              <w:t>About 28 hrs/month at $65 fully-loaded rate (about 336 hrs/yr)</w:t>
            </w:r>
          </w:p>
        </w:tc>
        <w:tc>
          <w:tcPr>
            <w:tcW w:type="dxa" w:w="1584"/>
          </w:tcPr>
          <w:p>
            <w:pPr>
              <w:spacing w:after="20" w:before="20"/>
              <w:jc w:val="right"/>
            </w:pPr>
            <w:r>
              <w:rPr>
                <w:b w:val="0"/>
                <w:i w:val="0"/>
                <w:color w:val="1F2933"/>
                <w:sz w:val="19"/>
              </w:rPr>
              <w:t>$21,840</w:t>
            </w:r>
          </w:p>
        </w:tc>
      </w:tr>
      <w:tr>
        <w:tc>
          <w:tcPr>
            <w:tcW w:type="dxa" w:w="2880"/>
            <w:shd w:val="clear" w:color="auto" w:fill="F5F8FB"/>
          </w:tcPr>
          <w:p>
            <w:pPr>
              <w:spacing w:after="20" w:before="20"/>
            </w:pPr>
            <w:r>
              <w:rPr>
                <w:b w:val="0"/>
                <w:i w:val="0"/>
                <w:color w:val="1F2933"/>
                <w:sz w:val="19"/>
              </w:rPr>
              <w:t>Error / rework reduction</w:t>
            </w:r>
          </w:p>
        </w:tc>
        <w:tc>
          <w:tcPr>
            <w:tcW w:type="dxa" w:w="4896"/>
            <w:shd w:val="clear" w:color="auto" w:fill="F5F8FB"/>
          </w:tcPr>
          <w:p>
            <w:pPr>
              <w:spacing w:after="20" w:before="20"/>
            </w:pPr>
            <w:r>
              <w:rPr>
                <w:b w:val="0"/>
                <w:i w:val="0"/>
                <w:color w:val="1F2933"/>
                <w:sz w:val="19"/>
              </w:rPr>
              <w:t>Fewer accrual corrections and reconciliation cycles</w:t>
            </w:r>
          </w:p>
        </w:tc>
        <w:tc>
          <w:tcPr>
            <w:tcW w:type="dxa" w:w="1584"/>
            <w:shd w:val="clear" w:color="auto" w:fill="F5F8FB"/>
          </w:tcPr>
          <w:p>
            <w:pPr>
              <w:spacing w:after="20" w:before="20"/>
              <w:jc w:val="right"/>
            </w:pPr>
            <w:r>
              <w:rPr>
                <w:b w:val="0"/>
                <w:i w:val="0"/>
                <w:color w:val="1F2933"/>
                <w:sz w:val="19"/>
              </w:rPr>
              <w:t>$8,160</w:t>
            </w:r>
          </w:p>
        </w:tc>
      </w:tr>
      <w:tr>
        <w:tc>
          <w:tcPr>
            <w:tcW w:type="dxa" w:w="2880"/>
            <w:shd w:val="clear" w:color="auto" w:fill="E7F6EA"/>
          </w:tcPr>
          <w:p>
            <w:pPr>
              <w:spacing w:after="20" w:before="20"/>
            </w:pPr>
            <w:r>
              <w:rPr>
                <w:b/>
                <w:i w:val="0"/>
                <w:color w:val="1F2933"/>
                <w:sz w:val="19"/>
              </w:rPr>
              <w:t>Total quantified annual benefit</w:t>
            </w:r>
          </w:p>
        </w:tc>
        <w:tc>
          <w:tcPr>
            <w:tcW w:type="dxa" w:w="4896"/>
            <w:shd w:val="clear" w:color="auto" w:fill="E7F6EA"/>
          </w:tcPr>
          <w:p>
            <w:pPr>
              <w:spacing w:after="20" w:before="20"/>
            </w:pPr>
            <w:r>
              <w:rPr>
                <w:b w:val="0"/>
                <w:i w:val="0"/>
                <w:color w:val="1F2933"/>
                <w:sz w:val="19"/>
              </w:rPr>
            </w:r>
          </w:p>
        </w:tc>
        <w:tc>
          <w:tcPr>
            <w:tcW w:type="dxa" w:w="1584"/>
            <w:shd w:val="clear" w:color="auto" w:fill="E7F6EA"/>
          </w:tcPr>
          <w:p>
            <w:pPr>
              <w:spacing w:after="20" w:before="20"/>
              <w:jc w:val="right"/>
            </w:pPr>
            <w:r>
              <w:rPr>
                <w:b w:val="0"/>
                <w:i w:val="0"/>
                <w:color w:val="1F2933"/>
                <w:sz w:val="19"/>
              </w:rPr>
              <w:t>$30,000</w:t>
            </w:r>
          </w:p>
        </w:tc>
      </w:tr>
    </w:tbl>
    <w:p>
      <w:pPr>
        <w:spacing w:after="120" w:before="0"/>
      </w:pPr>
    </w:p>
    <w:p>
      <w:pPr>
        <w:spacing w:before="160" w:after="20"/>
      </w:pPr>
      <w:r>
        <w:rPr>
          <w:b/>
          <w:i w:val="0"/>
          <w:color w:val="003C71"/>
          <w:sz w:val="22"/>
        </w:rPr>
        <w:t>Qualitative / strategic</w:t>
      </w:r>
    </w:p>
    <w:p>
      <w:pPr>
        <w:pStyle w:val="ListBullet"/>
        <w:spacing w:after="60"/>
      </w:pPr>
      <w:r>
        <w:rPr>
          <w:b w:val="0"/>
          <w:i w:val="0"/>
          <w:color w:val="1F2933"/>
          <w:sz w:val="21"/>
        </w:rPr>
        <w:t>Improved audit readiness and standardized evidence; reduced financial-misstatement risk</w:t>
      </w:r>
    </w:p>
    <w:p>
      <w:pPr>
        <w:pStyle w:val="ListBullet"/>
        <w:spacing w:after="60"/>
      </w:pPr>
      <w:r>
        <w:rPr>
          <w:b w:val="0"/>
          <w:i w:val="0"/>
          <w:color w:val="1F2933"/>
          <w:sz w:val="21"/>
        </w:rPr>
        <w:t>Consistent, repeatable month-end output; executive-level visibility and trend analysis</w:t>
      </w:r>
    </w:p>
    <w:p>
      <w:pPr>
        <w:pStyle w:val="ListBullet"/>
        <w:spacing w:after="60"/>
      </w:pPr>
      <w:r>
        <w:rPr>
          <w:b w:val="0"/>
          <w:i w:val="0"/>
          <w:color w:val="1F2933"/>
          <w:sz w:val="21"/>
        </w:rPr>
        <w:t>Reduced key-person dependency; analyst time redirected to analysis</w:t>
      </w:r>
    </w:p>
    <w:p>
      <w:pPr>
        <w:pStyle w:val="ListBullet"/>
        <w:spacing w:after="60"/>
      </w:pPr>
      <w:r>
        <w:rPr>
          <w:b w:val="0"/>
          <w:i w:val="0"/>
          <w:color w:val="1F2933"/>
          <w:sz w:val="21"/>
        </w:rPr>
        <w:t>Scalable as transaction volume grows; faster, lower-stress close</w:t>
      </w:r>
    </w:p>
    <w:p>
      <w:pPr>
        <w:spacing w:before="280" w:after="40"/>
        <w:pBdr>
          <w:bottom w:val="single" w:sz="6" w:space="2" w:color="00A9CE"/>
        </w:pBdr>
      </w:pPr>
      <w:r>
        <w:rPr>
          <w:b/>
          <w:i w:val="0"/>
          <w:color w:val="00A9CE"/>
          <w:sz w:val="28"/>
        </w:rPr>
        <w:t xml:space="preserve">7  </w:t>
      </w:r>
      <w:r>
        <w:rPr>
          <w:b/>
          <w:i w:val="0"/>
          <w:color w:val="00539B"/>
          <w:sz w:val="28"/>
        </w:rPr>
        <w:t>Financial Analysis</w:t>
      </w:r>
    </w:p>
    <w:p>
      <w:pPr>
        <w:spacing w:after="60"/>
      </w:pPr>
      <w:r>
        <w:rPr>
          <w:b w:val="0"/>
          <w:i w:val="0"/>
          <w:color w:val="52606D"/>
          <w:sz w:val="19"/>
        </w:rPr>
        <w:t xml:space="preserve">Base case. Horizon: 5 years. Discount / hurdle rate: 10% </w:t>
      </w:r>
      <w:r>
        <w:rPr>
          <w:b/>
          <w:i w:val="0"/>
          <w:color w:val="C77700"/>
          <w:sz w:val="19"/>
        </w:rPr>
        <w:t>[confirm with Finance]. All figures are estimates.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C71"/>
          </w:tcPr>
          <w:p>
            <w:pPr>
              <w:spacing w:after="20" w:before="20"/>
            </w:pPr>
            <w:r>
              <w:rPr>
                <w:b/>
                <w:i w:val="0"/>
                <w:color w:val="FFFFFF"/>
                <w:sz w:val="19"/>
              </w:rPr>
              <w:t>Cash flow ($)</w:t>
            </w:r>
          </w:p>
        </w:tc>
        <w:tc>
          <w:tcPr>
            <w:tcW w:type="dxa" w:w="1234"/>
            <w:shd w:val="clear" w:color="auto" w:fill="003C71"/>
          </w:tcPr>
          <w:p>
            <w:pPr>
              <w:spacing w:after="20" w:before="20"/>
              <w:jc w:val="right"/>
            </w:pPr>
            <w:r>
              <w:rPr>
                <w:b/>
                <w:i w:val="0"/>
                <w:color w:val="FFFFFF"/>
                <w:sz w:val="19"/>
              </w:rPr>
              <w:t>Year 0</w:t>
            </w:r>
          </w:p>
        </w:tc>
        <w:tc>
          <w:tcPr>
            <w:tcW w:type="dxa" w:w="1234"/>
            <w:shd w:val="clear" w:color="auto" w:fill="003C71"/>
          </w:tcPr>
          <w:p>
            <w:pPr>
              <w:spacing w:after="20" w:before="20"/>
              <w:jc w:val="right"/>
            </w:pPr>
            <w:r>
              <w:rPr>
                <w:b/>
                <w:i w:val="0"/>
                <w:color w:val="FFFFFF"/>
                <w:sz w:val="19"/>
              </w:rPr>
              <w:t>Yr 1</w:t>
            </w:r>
          </w:p>
        </w:tc>
        <w:tc>
          <w:tcPr>
            <w:tcW w:type="dxa" w:w="1234"/>
            <w:shd w:val="clear" w:color="auto" w:fill="003C71"/>
          </w:tcPr>
          <w:p>
            <w:pPr>
              <w:spacing w:after="20" w:before="20"/>
              <w:jc w:val="right"/>
            </w:pPr>
            <w:r>
              <w:rPr>
                <w:b/>
                <w:i w:val="0"/>
                <w:color w:val="FFFFFF"/>
                <w:sz w:val="19"/>
              </w:rPr>
              <w:t>Yr 2</w:t>
            </w:r>
          </w:p>
        </w:tc>
        <w:tc>
          <w:tcPr>
            <w:tcW w:type="dxa" w:w="1234"/>
            <w:shd w:val="clear" w:color="auto" w:fill="003C71"/>
          </w:tcPr>
          <w:p>
            <w:pPr>
              <w:spacing w:after="20" w:before="20"/>
              <w:jc w:val="right"/>
            </w:pPr>
            <w:r>
              <w:rPr>
                <w:b/>
                <w:i w:val="0"/>
                <w:color w:val="FFFFFF"/>
                <w:sz w:val="19"/>
              </w:rPr>
              <w:t>Yr 3</w:t>
            </w:r>
          </w:p>
        </w:tc>
        <w:tc>
          <w:tcPr>
            <w:tcW w:type="dxa" w:w="1234"/>
            <w:shd w:val="clear" w:color="auto" w:fill="003C71"/>
          </w:tcPr>
          <w:p>
            <w:pPr>
              <w:spacing w:after="20" w:before="20"/>
              <w:jc w:val="right"/>
            </w:pPr>
            <w:r>
              <w:rPr>
                <w:b/>
                <w:i w:val="0"/>
                <w:color w:val="FFFFFF"/>
                <w:sz w:val="19"/>
              </w:rPr>
              <w:t>Yr 4</w:t>
            </w:r>
          </w:p>
        </w:tc>
        <w:tc>
          <w:tcPr>
            <w:tcW w:type="dxa" w:w="1234"/>
            <w:shd w:val="clear" w:color="auto" w:fill="003C71"/>
          </w:tcPr>
          <w:p>
            <w:pPr>
              <w:spacing w:after="20" w:before="20"/>
              <w:jc w:val="right"/>
            </w:pPr>
            <w:r>
              <w:rPr>
                <w:b/>
                <w:i w:val="0"/>
                <w:color w:val="FFFFFF"/>
                <w:sz w:val="19"/>
              </w:rPr>
              <w:t>Yr 5</w:t>
            </w:r>
          </w:p>
        </w:tc>
      </w:tr>
      <w:tr>
        <w:tc>
          <w:tcPr>
            <w:tcW w:type="dxa" w:w="1234"/>
          </w:tcPr>
          <w:p>
            <w:pPr>
              <w:spacing w:after="20" w:before="20"/>
            </w:pPr>
            <w:r>
              <w:rPr>
                <w:b w:val="0"/>
                <w:i w:val="0"/>
                <w:color w:val="1F2933"/>
                <w:sz w:val="19"/>
              </w:rPr>
              <w:t>Implementation (one-time)</w:t>
            </w:r>
          </w:p>
        </w:tc>
        <w:tc>
          <w:tcPr>
            <w:tcW w:type="dxa" w:w="1234"/>
          </w:tcPr>
          <w:p>
            <w:pPr>
              <w:spacing w:after="20" w:before="20"/>
              <w:jc w:val="right"/>
            </w:pPr>
            <w:r>
              <w:rPr>
                <w:b w:val="0"/>
                <w:i w:val="0"/>
                <w:color w:val="1F2933"/>
                <w:sz w:val="19"/>
              </w:rPr>
              <w:t>(45,000)</w:t>
            </w:r>
          </w:p>
        </w:tc>
        <w:tc>
          <w:tcPr>
            <w:tcW w:type="dxa" w:w="1234"/>
          </w:tcPr>
          <w:p>
            <w:pPr>
              <w:spacing w:after="20" w:before="20"/>
              <w:jc w:val="right"/>
            </w:pPr>
            <w:r>
              <w:rPr>
                <w:b w:val="0"/>
                <w:i w:val="0"/>
                <w:color w:val="1F2933"/>
                <w:sz w:val="19"/>
              </w:rPr>
              <w:t>-</w:t>
            </w:r>
          </w:p>
        </w:tc>
        <w:tc>
          <w:tcPr>
            <w:tcW w:type="dxa" w:w="1234"/>
          </w:tcPr>
          <w:p>
            <w:pPr>
              <w:spacing w:after="20" w:before="20"/>
              <w:jc w:val="right"/>
            </w:pPr>
            <w:r>
              <w:rPr>
                <w:b w:val="0"/>
                <w:i w:val="0"/>
                <w:color w:val="1F2933"/>
                <w:sz w:val="19"/>
              </w:rPr>
              <w:t>-</w:t>
            </w:r>
          </w:p>
        </w:tc>
        <w:tc>
          <w:tcPr>
            <w:tcW w:type="dxa" w:w="1234"/>
          </w:tcPr>
          <w:p>
            <w:pPr>
              <w:spacing w:after="20" w:before="20"/>
              <w:jc w:val="right"/>
            </w:pPr>
            <w:r>
              <w:rPr>
                <w:b w:val="0"/>
                <w:i w:val="0"/>
                <w:color w:val="1F2933"/>
                <w:sz w:val="19"/>
              </w:rPr>
              <w:t>-</w:t>
            </w:r>
          </w:p>
        </w:tc>
        <w:tc>
          <w:tcPr>
            <w:tcW w:type="dxa" w:w="1234"/>
          </w:tcPr>
          <w:p>
            <w:pPr>
              <w:spacing w:after="20" w:before="20"/>
              <w:jc w:val="right"/>
            </w:pPr>
            <w:r>
              <w:rPr>
                <w:b w:val="0"/>
                <w:i w:val="0"/>
                <w:color w:val="1F2933"/>
                <w:sz w:val="19"/>
              </w:rPr>
              <w:t>-</w:t>
            </w:r>
          </w:p>
        </w:tc>
        <w:tc>
          <w:tcPr>
            <w:tcW w:type="dxa" w:w="1234"/>
          </w:tcPr>
          <w:p>
            <w:pPr>
              <w:spacing w:after="20" w:before="20"/>
              <w:jc w:val="right"/>
            </w:pPr>
            <w:r>
              <w:rPr>
                <w:b w:val="0"/>
                <w:i w:val="0"/>
                <w:color w:val="1F2933"/>
                <w:sz w:val="19"/>
              </w:rPr>
              <w:t>-</w:t>
            </w:r>
          </w:p>
        </w:tc>
      </w:tr>
      <w:tr>
        <w:tc>
          <w:tcPr>
            <w:tcW w:type="dxa" w:w="1234"/>
            <w:shd w:val="clear" w:color="auto" w:fill="F5F8FB"/>
          </w:tcPr>
          <w:p>
            <w:pPr>
              <w:spacing w:after="20" w:before="20"/>
            </w:pPr>
            <w:r>
              <w:rPr>
                <w:b w:val="0"/>
                <w:i w:val="0"/>
                <w:color w:val="1F2933"/>
                <w:sz w:val="19"/>
              </w:rPr>
              <w:t>Gross annual benefit</w:t>
            </w:r>
          </w:p>
        </w:tc>
        <w:tc>
          <w:tcPr>
            <w:tcW w:type="dxa" w:w="1234"/>
            <w:shd w:val="clear" w:color="auto" w:fill="F5F8FB"/>
          </w:tcPr>
          <w:p>
            <w:pPr>
              <w:spacing w:after="20" w:before="20"/>
              <w:jc w:val="right"/>
            </w:pPr>
            <w:r>
              <w:rPr>
                <w:b w:val="0"/>
                <w:i w:val="0"/>
                <w:color w:val="1F2933"/>
                <w:sz w:val="19"/>
              </w:rPr>
              <w:t>-</w:t>
            </w:r>
          </w:p>
        </w:tc>
        <w:tc>
          <w:tcPr>
            <w:tcW w:type="dxa" w:w="1234"/>
            <w:shd w:val="clear" w:color="auto" w:fill="F5F8FB"/>
          </w:tcPr>
          <w:p>
            <w:pPr>
              <w:spacing w:after="20" w:before="20"/>
              <w:jc w:val="right"/>
            </w:pPr>
            <w:r>
              <w:rPr>
                <w:b w:val="0"/>
                <w:i w:val="0"/>
                <w:color w:val="1F2933"/>
                <w:sz w:val="19"/>
              </w:rPr>
              <w:t>30,000</w:t>
            </w:r>
          </w:p>
        </w:tc>
        <w:tc>
          <w:tcPr>
            <w:tcW w:type="dxa" w:w="1234"/>
            <w:shd w:val="clear" w:color="auto" w:fill="F5F8FB"/>
          </w:tcPr>
          <w:p>
            <w:pPr>
              <w:spacing w:after="20" w:before="20"/>
              <w:jc w:val="right"/>
            </w:pPr>
            <w:r>
              <w:rPr>
                <w:b w:val="0"/>
                <w:i w:val="0"/>
                <w:color w:val="1F2933"/>
                <w:sz w:val="19"/>
              </w:rPr>
              <w:t>30,000</w:t>
            </w:r>
          </w:p>
        </w:tc>
        <w:tc>
          <w:tcPr>
            <w:tcW w:type="dxa" w:w="1234"/>
            <w:shd w:val="clear" w:color="auto" w:fill="F5F8FB"/>
          </w:tcPr>
          <w:p>
            <w:pPr>
              <w:spacing w:after="20" w:before="20"/>
              <w:jc w:val="right"/>
            </w:pPr>
            <w:r>
              <w:rPr>
                <w:b w:val="0"/>
                <w:i w:val="0"/>
                <w:color w:val="1F2933"/>
                <w:sz w:val="19"/>
              </w:rPr>
              <w:t>30,000</w:t>
            </w:r>
          </w:p>
        </w:tc>
        <w:tc>
          <w:tcPr>
            <w:tcW w:type="dxa" w:w="1234"/>
            <w:shd w:val="clear" w:color="auto" w:fill="F5F8FB"/>
          </w:tcPr>
          <w:p>
            <w:pPr>
              <w:spacing w:after="20" w:before="20"/>
              <w:jc w:val="right"/>
            </w:pPr>
            <w:r>
              <w:rPr>
                <w:b w:val="0"/>
                <w:i w:val="0"/>
                <w:color w:val="1F2933"/>
                <w:sz w:val="19"/>
              </w:rPr>
              <w:t>30,000</w:t>
            </w:r>
          </w:p>
        </w:tc>
        <w:tc>
          <w:tcPr>
            <w:tcW w:type="dxa" w:w="1234"/>
            <w:shd w:val="clear" w:color="auto" w:fill="F5F8FB"/>
          </w:tcPr>
          <w:p>
            <w:pPr>
              <w:spacing w:after="20" w:before="20"/>
              <w:jc w:val="right"/>
            </w:pPr>
            <w:r>
              <w:rPr>
                <w:b w:val="0"/>
                <w:i w:val="0"/>
                <w:color w:val="1F2933"/>
                <w:sz w:val="19"/>
              </w:rPr>
              <w:t>30,000</w:t>
            </w:r>
          </w:p>
        </w:tc>
      </w:tr>
      <w:tr>
        <w:tc>
          <w:tcPr>
            <w:tcW w:type="dxa" w:w="1234"/>
          </w:tcPr>
          <w:p>
            <w:pPr>
              <w:spacing w:after="20" w:before="20"/>
            </w:pPr>
            <w:r>
              <w:rPr>
                <w:b w:val="0"/>
                <w:i w:val="0"/>
                <w:color w:val="1F2933"/>
                <w:sz w:val="19"/>
              </w:rPr>
              <w:t>Recurring cost</w:t>
            </w:r>
          </w:p>
        </w:tc>
        <w:tc>
          <w:tcPr>
            <w:tcW w:type="dxa" w:w="1234"/>
          </w:tcPr>
          <w:p>
            <w:pPr>
              <w:spacing w:after="20" w:before="20"/>
              <w:jc w:val="right"/>
            </w:pPr>
            <w:r>
              <w:rPr>
                <w:b w:val="0"/>
                <w:i w:val="0"/>
                <w:color w:val="1F2933"/>
                <w:sz w:val="19"/>
              </w:rPr>
              <w:t>-</w:t>
            </w:r>
          </w:p>
        </w:tc>
        <w:tc>
          <w:tcPr>
            <w:tcW w:type="dxa" w:w="1234"/>
          </w:tcPr>
          <w:p>
            <w:pPr>
              <w:spacing w:after="20" w:before="20"/>
              <w:jc w:val="right"/>
            </w:pPr>
            <w:r>
              <w:rPr>
                <w:b w:val="0"/>
                <w:i w:val="0"/>
                <w:color w:val="1F2933"/>
                <w:sz w:val="19"/>
              </w:rPr>
              <w:t>(4,000)</w:t>
            </w:r>
          </w:p>
        </w:tc>
        <w:tc>
          <w:tcPr>
            <w:tcW w:type="dxa" w:w="1234"/>
          </w:tcPr>
          <w:p>
            <w:pPr>
              <w:spacing w:after="20" w:before="20"/>
              <w:jc w:val="right"/>
            </w:pPr>
            <w:r>
              <w:rPr>
                <w:b w:val="0"/>
                <w:i w:val="0"/>
                <w:color w:val="1F2933"/>
                <w:sz w:val="19"/>
              </w:rPr>
              <w:t>(4,000)</w:t>
            </w:r>
          </w:p>
        </w:tc>
        <w:tc>
          <w:tcPr>
            <w:tcW w:type="dxa" w:w="1234"/>
          </w:tcPr>
          <w:p>
            <w:pPr>
              <w:spacing w:after="20" w:before="20"/>
              <w:jc w:val="right"/>
            </w:pPr>
            <w:r>
              <w:rPr>
                <w:b w:val="0"/>
                <w:i w:val="0"/>
                <w:color w:val="1F2933"/>
                <w:sz w:val="19"/>
              </w:rPr>
              <w:t>(4,000)</w:t>
            </w:r>
          </w:p>
        </w:tc>
        <w:tc>
          <w:tcPr>
            <w:tcW w:type="dxa" w:w="1234"/>
          </w:tcPr>
          <w:p>
            <w:pPr>
              <w:spacing w:after="20" w:before="20"/>
              <w:jc w:val="right"/>
            </w:pPr>
            <w:r>
              <w:rPr>
                <w:b w:val="0"/>
                <w:i w:val="0"/>
                <w:color w:val="1F2933"/>
                <w:sz w:val="19"/>
              </w:rPr>
              <w:t>(4,000)</w:t>
            </w:r>
          </w:p>
        </w:tc>
        <w:tc>
          <w:tcPr>
            <w:tcW w:type="dxa" w:w="1234"/>
          </w:tcPr>
          <w:p>
            <w:pPr>
              <w:spacing w:after="20" w:before="20"/>
              <w:jc w:val="right"/>
            </w:pPr>
            <w:r>
              <w:rPr>
                <w:b w:val="0"/>
                <w:i w:val="0"/>
                <w:color w:val="1F2933"/>
                <w:sz w:val="19"/>
              </w:rPr>
              <w:t>(4,000)</w:t>
            </w:r>
          </w:p>
        </w:tc>
      </w:tr>
      <w:tr>
        <w:tc>
          <w:tcPr>
            <w:tcW w:type="dxa" w:w="1234"/>
            <w:shd w:val="clear" w:color="auto" w:fill="E7F6EA"/>
          </w:tcPr>
          <w:p>
            <w:pPr>
              <w:spacing w:after="20" w:before="20"/>
            </w:pPr>
            <w:r>
              <w:rPr>
                <w:b/>
                <w:i w:val="0"/>
                <w:color w:val="1F2933"/>
                <w:sz w:val="19"/>
              </w:rPr>
              <w:t>Net cash flow</w:t>
            </w:r>
          </w:p>
        </w:tc>
        <w:tc>
          <w:tcPr>
            <w:tcW w:type="dxa" w:w="1234"/>
            <w:shd w:val="clear" w:color="auto" w:fill="E7F6EA"/>
          </w:tcPr>
          <w:p>
            <w:pPr>
              <w:spacing w:after="20" w:before="20"/>
              <w:jc w:val="right"/>
            </w:pPr>
            <w:r>
              <w:rPr>
                <w:b w:val="0"/>
                <w:i w:val="0"/>
                <w:color w:val="1F2933"/>
                <w:sz w:val="19"/>
              </w:rPr>
              <w:t>(45,000)</w:t>
            </w:r>
          </w:p>
        </w:tc>
        <w:tc>
          <w:tcPr>
            <w:tcW w:type="dxa" w:w="1234"/>
            <w:shd w:val="clear" w:color="auto" w:fill="E7F6EA"/>
          </w:tcPr>
          <w:p>
            <w:pPr>
              <w:spacing w:after="20" w:before="20"/>
              <w:jc w:val="right"/>
            </w:pPr>
            <w:r>
              <w:rPr>
                <w:b w:val="0"/>
                <w:i w:val="0"/>
                <w:color w:val="1F2933"/>
                <w:sz w:val="19"/>
              </w:rPr>
              <w:t>26,000</w:t>
            </w:r>
          </w:p>
        </w:tc>
        <w:tc>
          <w:tcPr>
            <w:tcW w:type="dxa" w:w="1234"/>
            <w:shd w:val="clear" w:color="auto" w:fill="E7F6EA"/>
          </w:tcPr>
          <w:p>
            <w:pPr>
              <w:spacing w:after="20" w:before="20"/>
              <w:jc w:val="right"/>
            </w:pPr>
            <w:r>
              <w:rPr>
                <w:b w:val="0"/>
                <w:i w:val="0"/>
                <w:color w:val="1F2933"/>
                <w:sz w:val="19"/>
              </w:rPr>
              <w:t>26,000</w:t>
            </w:r>
          </w:p>
        </w:tc>
        <w:tc>
          <w:tcPr>
            <w:tcW w:type="dxa" w:w="1234"/>
            <w:shd w:val="clear" w:color="auto" w:fill="E7F6EA"/>
          </w:tcPr>
          <w:p>
            <w:pPr>
              <w:spacing w:after="20" w:before="20"/>
              <w:jc w:val="right"/>
            </w:pPr>
            <w:r>
              <w:rPr>
                <w:b w:val="0"/>
                <w:i w:val="0"/>
                <w:color w:val="1F2933"/>
                <w:sz w:val="19"/>
              </w:rPr>
              <w:t>26,000</w:t>
            </w:r>
          </w:p>
        </w:tc>
        <w:tc>
          <w:tcPr>
            <w:tcW w:type="dxa" w:w="1234"/>
            <w:shd w:val="clear" w:color="auto" w:fill="E7F6EA"/>
          </w:tcPr>
          <w:p>
            <w:pPr>
              <w:spacing w:after="20" w:before="20"/>
              <w:jc w:val="right"/>
            </w:pPr>
            <w:r>
              <w:rPr>
                <w:b w:val="0"/>
                <w:i w:val="0"/>
                <w:color w:val="1F2933"/>
                <w:sz w:val="19"/>
              </w:rPr>
              <w:t>26,000</w:t>
            </w:r>
          </w:p>
        </w:tc>
        <w:tc>
          <w:tcPr>
            <w:tcW w:type="dxa" w:w="1234"/>
            <w:shd w:val="clear" w:color="auto" w:fill="E7F6EA"/>
          </w:tcPr>
          <w:p>
            <w:pPr>
              <w:spacing w:after="20" w:before="20"/>
              <w:jc w:val="right"/>
            </w:pPr>
            <w:r>
              <w:rPr>
                <w:b w:val="0"/>
                <w:i w:val="0"/>
                <w:color w:val="1F2933"/>
                <w:sz w:val="19"/>
              </w:rPr>
              <w:t>26,000</w:t>
            </w:r>
          </w:p>
        </w:tc>
      </w:tr>
      <w:tr>
        <w:tc>
          <w:tcPr>
            <w:tcW w:type="dxa" w:w="1234"/>
          </w:tcPr>
          <w:p>
            <w:pPr>
              <w:spacing w:after="20" w:before="20"/>
            </w:pPr>
            <w:r>
              <w:rPr>
                <w:b w:val="0"/>
                <w:i w:val="0"/>
                <w:color w:val="1F2933"/>
                <w:sz w:val="19"/>
              </w:rPr>
              <w:t>Cumulative net</w:t>
            </w:r>
          </w:p>
        </w:tc>
        <w:tc>
          <w:tcPr>
            <w:tcW w:type="dxa" w:w="1234"/>
          </w:tcPr>
          <w:p>
            <w:pPr>
              <w:spacing w:after="20" w:before="20"/>
              <w:jc w:val="right"/>
            </w:pPr>
            <w:r>
              <w:rPr>
                <w:b w:val="0"/>
                <w:i w:val="0"/>
                <w:color w:val="1F2933"/>
                <w:sz w:val="19"/>
              </w:rPr>
              <w:t>(45,000)</w:t>
            </w:r>
          </w:p>
        </w:tc>
        <w:tc>
          <w:tcPr>
            <w:tcW w:type="dxa" w:w="1234"/>
          </w:tcPr>
          <w:p>
            <w:pPr>
              <w:spacing w:after="20" w:before="20"/>
              <w:jc w:val="right"/>
            </w:pPr>
            <w:r>
              <w:rPr>
                <w:b w:val="0"/>
                <w:i w:val="0"/>
                <w:color w:val="1F2933"/>
                <w:sz w:val="19"/>
              </w:rPr>
              <w:t>(19,000)</w:t>
            </w:r>
          </w:p>
        </w:tc>
        <w:tc>
          <w:tcPr>
            <w:tcW w:type="dxa" w:w="1234"/>
          </w:tcPr>
          <w:p>
            <w:pPr>
              <w:spacing w:after="20" w:before="20"/>
              <w:jc w:val="right"/>
            </w:pPr>
            <w:r>
              <w:rPr>
                <w:b w:val="0"/>
                <w:i w:val="0"/>
                <w:color w:val="1F2933"/>
                <w:sz w:val="19"/>
              </w:rPr>
              <w:t>7,000</w:t>
            </w:r>
          </w:p>
        </w:tc>
        <w:tc>
          <w:tcPr>
            <w:tcW w:type="dxa" w:w="1234"/>
          </w:tcPr>
          <w:p>
            <w:pPr>
              <w:spacing w:after="20" w:before="20"/>
              <w:jc w:val="right"/>
            </w:pPr>
            <w:r>
              <w:rPr>
                <w:b w:val="0"/>
                <w:i w:val="0"/>
                <w:color w:val="1F2933"/>
                <w:sz w:val="19"/>
              </w:rPr>
              <w:t>33,000</w:t>
            </w:r>
          </w:p>
        </w:tc>
        <w:tc>
          <w:tcPr>
            <w:tcW w:type="dxa" w:w="1234"/>
          </w:tcPr>
          <w:p>
            <w:pPr>
              <w:spacing w:after="20" w:before="20"/>
              <w:jc w:val="right"/>
            </w:pPr>
            <w:r>
              <w:rPr>
                <w:b w:val="0"/>
                <w:i w:val="0"/>
                <w:color w:val="1F2933"/>
                <w:sz w:val="19"/>
              </w:rPr>
              <w:t>59,000</w:t>
            </w:r>
          </w:p>
        </w:tc>
        <w:tc>
          <w:tcPr>
            <w:tcW w:type="dxa" w:w="1234"/>
          </w:tcPr>
          <w:p>
            <w:pPr>
              <w:spacing w:after="20" w:before="20"/>
              <w:jc w:val="right"/>
            </w:pPr>
            <w:r>
              <w:rPr>
                <w:b w:val="0"/>
                <w:i w:val="0"/>
                <w:color w:val="1F2933"/>
                <w:sz w:val="19"/>
              </w:rPr>
              <w:t>85,000</w:t>
            </w:r>
          </w:p>
        </w:tc>
      </w:tr>
      <w:tr>
        <w:tc>
          <w:tcPr>
            <w:tcW w:type="dxa" w:w="1234"/>
            <w:shd w:val="clear" w:color="auto" w:fill="F5F8FB"/>
          </w:tcPr>
          <w:p>
            <w:pPr>
              <w:spacing w:after="20" w:before="20"/>
            </w:pPr>
            <w:r>
              <w:rPr>
                <w:b w:val="0"/>
                <w:i w:val="0"/>
                <w:color w:val="1F2933"/>
                <w:sz w:val="19"/>
              </w:rPr>
              <w:t>Discount factor @10%</w:t>
            </w:r>
          </w:p>
        </w:tc>
        <w:tc>
          <w:tcPr>
            <w:tcW w:type="dxa" w:w="1234"/>
            <w:shd w:val="clear" w:color="auto" w:fill="F5F8FB"/>
          </w:tcPr>
          <w:p>
            <w:pPr>
              <w:spacing w:after="20" w:before="20"/>
              <w:jc w:val="right"/>
            </w:pPr>
            <w:r>
              <w:rPr>
                <w:b w:val="0"/>
                <w:i w:val="0"/>
                <w:color w:val="1F2933"/>
                <w:sz w:val="19"/>
              </w:rPr>
              <w:t>1.000</w:t>
            </w:r>
          </w:p>
        </w:tc>
        <w:tc>
          <w:tcPr>
            <w:tcW w:type="dxa" w:w="1234"/>
            <w:shd w:val="clear" w:color="auto" w:fill="F5F8FB"/>
          </w:tcPr>
          <w:p>
            <w:pPr>
              <w:spacing w:after="20" w:before="20"/>
              <w:jc w:val="right"/>
            </w:pPr>
            <w:r>
              <w:rPr>
                <w:b w:val="0"/>
                <w:i w:val="0"/>
                <w:color w:val="1F2933"/>
                <w:sz w:val="19"/>
              </w:rPr>
              <w:t>0.909</w:t>
            </w:r>
          </w:p>
        </w:tc>
        <w:tc>
          <w:tcPr>
            <w:tcW w:type="dxa" w:w="1234"/>
            <w:shd w:val="clear" w:color="auto" w:fill="F5F8FB"/>
          </w:tcPr>
          <w:p>
            <w:pPr>
              <w:spacing w:after="20" w:before="20"/>
              <w:jc w:val="right"/>
            </w:pPr>
            <w:r>
              <w:rPr>
                <w:b w:val="0"/>
                <w:i w:val="0"/>
                <w:color w:val="1F2933"/>
                <w:sz w:val="19"/>
              </w:rPr>
              <w:t>0.826</w:t>
            </w:r>
          </w:p>
        </w:tc>
        <w:tc>
          <w:tcPr>
            <w:tcW w:type="dxa" w:w="1234"/>
            <w:shd w:val="clear" w:color="auto" w:fill="F5F8FB"/>
          </w:tcPr>
          <w:p>
            <w:pPr>
              <w:spacing w:after="20" w:before="20"/>
              <w:jc w:val="right"/>
            </w:pPr>
            <w:r>
              <w:rPr>
                <w:b w:val="0"/>
                <w:i w:val="0"/>
                <w:color w:val="1F2933"/>
                <w:sz w:val="19"/>
              </w:rPr>
              <w:t>0.751</w:t>
            </w:r>
          </w:p>
        </w:tc>
        <w:tc>
          <w:tcPr>
            <w:tcW w:type="dxa" w:w="1234"/>
            <w:shd w:val="clear" w:color="auto" w:fill="F5F8FB"/>
          </w:tcPr>
          <w:p>
            <w:pPr>
              <w:spacing w:after="20" w:before="20"/>
              <w:jc w:val="right"/>
            </w:pPr>
            <w:r>
              <w:rPr>
                <w:b w:val="0"/>
                <w:i w:val="0"/>
                <w:color w:val="1F2933"/>
                <w:sz w:val="19"/>
              </w:rPr>
              <w:t>0.683</w:t>
            </w:r>
          </w:p>
        </w:tc>
        <w:tc>
          <w:tcPr>
            <w:tcW w:type="dxa" w:w="1234"/>
            <w:shd w:val="clear" w:color="auto" w:fill="F5F8FB"/>
          </w:tcPr>
          <w:p>
            <w:pPr>
              <w:spacing w:after="20" w:before="20"/>
              <w:jc w:val="right"/>
            </w:pPr>
            <w:r>
              <w:rPr>
                <w:b w:val="0"/>
                <w:i w:val="0"/>
                <w:color w:val="1F2933"/>
                <w:sz w:val="19"/>
              </w:rPr>
              <w:t>0.621</w:t>
            </w:r>
          </w:p>
        </w:tc>
      </w:tr>
      <w:tr>
        <w:tc>
          <w:tcPr>
            <w:tcW w:type="dxa" w:w="1234"/>
          </w:tcPr>
          <w:p>
            <w:pPr>
              <w:spacing w:after="20" w:before="20"/>
            </w:pPr>
            <w:r>
              <w:rPr>
                <w:b w:val="0"/>
                <w:i w:val="0"/>
                <w:color w:val="1F2933"/>
                <w:sz w:val="19"/>
              </w:rPr>
              <w:t>Present value</w:t>
            </w:r>
          </w:p>
        </w:tc>
        <w:tc>
          <w:tcPr>
            <w:tcW w:type="dxa" w:w="1234"/>
          </w:tcPr>
          <w:p>
            <w:pPr>
              <w:spacing w:after="20" w:before="20"/>
              <w:jc w:val="right"/>
            </w:pPr>
            <w:r>
              <w:rPr>
                <w:b w:val="0"/>
                <w:i w:val="0"/>
                <w:color w:val="1F2933"/>
                <w:sz w:val="19"/>
              </w:rPr>
              <w:t>(45,000)</w:t>
            </w:r>
          </w:p>
        </w:tc>
        <w:tc>
          <w:tcPr>
            <w:tcW w:type="dxa" w:w="1234"/>
          </w:tcPr>
          <w:p>
            <w:pPr>
              <w:spacing w:after="20" w:before="20"/>
              <w:jc w:val="right"/>
            </w:pPr>
            <w:r>
              <w:rPr>
                <w:b w:val="0"/>
                <w:i w:val="0"/>
                <w:color w:val="1F2933"/>
                <w:sz w:val="19"/>
              </w:rPr>
              <w:t>23,636</w:t>
            </w:r>
          </w:p>
        </w:tc>
        <w:tc>
          <w:tcPr>
            <w:tcW w:type="dxa" w:w="1234"/>
          </w:tcPr>
          <w:p>
            <w:pPr>
              <w:spacing w:after="20" w:before="20"/>
              <w:jc w:val="right"/>
            </w:pPr>
            <w:r>
              <w:rPr>
                <w:b w:val="0"/>
                <w:i w:val="0"/>
                <w:color w:val="1F2933"/>
                <w:sz w:val="19"/>
              </w:rPr>
              <w:t>21,488</w:t>
            </w:r>
          </w:p>
        </w:tc>
        <w:tc>
          <w:tcPr>
            <w:tcW w:type="dxa" w:w="1234"/>
          </w:tcPr>
          <w:p>
            <w:pPr>
              <w:spacing w:after="20" w:before="20"/>
              <w:jc w:val="right"/>
            </w:pPr>
            <w:r>
              <w:rPr>
                <w:b w:val="0"/>
                <w:i w:val="0"/>
                <w:color w:val="1F2933"/>
                <w:sz w:val="19"/>
              </w:rPr>
              <w:t>19,535</w:t>
            </w:r>
          </w:p>
        </w:tc>
        <w:tc>
          <w:tcPr>
            <w:tcW w:type="dxa" w:w="1234"/>
          </w:tcPr>
          <w:p>
            <w:pPr>
              <w:spacing w:after="20" w:before="20"/>
              <w:jc w:val="right"/>
            </w:pPr>
            <w:r>
              <w:rPr>
                <w:b w:val="0"/>
                <w:i w:val="0"/>
                <w:color w:val="1F2933"/>
                <w:sz w:val="19"/>
              </w:rPr>
              <w:t>17,759</w:t>
            </w:r>
          </w:p>
        </w:tc>
        <w:tc>
          <w:tcPr>
            <w:tcW w:type="dxa" w:w="1234"/>
          </w:tcPr>
          <w:p>
            <w:pPr>
              <w:spacing w:after="20" w:before="20"/>
              <w:jc w:val="right"/>
            </w:pPr>
            <w:r>
              <w:rPr>
                <w:b w:val="0"/>
                <w:i w:val="0"/>
                <w:color w:val="1F2933"/>
                <w:sz w:val="19"/>
              </w:rPr>
              <w:t>16,144</w:t>
            </w:r>
          </w:p>
        </w:tc>
      </w:tr>
      <w:tr>
        <w:tc>
          <w:tcPr>
            <w:tcW w:type="dxa" w:w="1234"/>
            <w:shd w:val="clear" w:color="auto" w:fill="E7F6EA"/>
          </w:tcPr>
          <w:p>
            <w:pPr>
              <w:spacing w:after="20" w:before="20"/>
            </w:pPr>
            <w:r>
              <w:rPr>
                <w:b/>
                <w:i w:val="0"/>
                <w:color w:val="1F2933"/>
                <w:sz w:val="19"/>
              </w:rPr>
              <w:t>Cumulative PV (NPV build)</w:t>
            </w:r>
          </w:p>
        </w:tc>
        <w:tc>
          <w:tcPr>
            <w:tcW w:type="dxa" w:w="1234"/>
            <w:shd w:val="clear" w:color="auto" w:fill="E7F6EA"/>
          </w:tcPr>
          <w:p>
            <w:pPr>
              <w:spacing w:after="20" w:before="20"/>
              <w:jc w:val="right"/>
            </w:pPr>
            <w:r>
              <w:rPr>
                <w:b w:val="0"/>
                <w:i w:val="0"/>
                <w:color w:val="1F2933"/>
                <w:sz w:val="19"/>
              </w:rPr>
              <w:t>(45,000)</w:t>
            </w:r>
          </w:p>
        </w:tc>
        <w:tc>
          <w:tcPr>
            <w:tcW w:type="dxa" w:w="1234"/>
            <w:shd w:val="clear" w:color="auto" w:fill="E7F6EA"/>
          </w:tcPr>
          <w:p>
            <w:pPr>
              <w:spacing w:after="20" w:before="20"/>
              <w:jc w:val="right"/>
            </w:pPr>
            <w:r>
              <w:rPr>
                <w:b w:val="0"/>
                <w:i w:val="0"/>
                <w:color w:val="1F2933"/>
                <w:sz w:val="19"/>
              </w:rPr>
              <w:t>(21,364)</w:t>
            </w:r>
          </w:p>
        </w:tc>
        <w:tc>
          <w:tcPr>
            <w:tcW w:type="dxa" w:w="1234"/>
            <w:shd w:val="clear" w:color="auto" w:fill="E7F6EA"/>
          </w:tcPr>
          <w:p>
            <w:pPr>
              <w:spacing w:after="20" w:before="20"/>
              <w:jc w:val="right"/>
            </w:pPr>
            <w:r>
              <w:rPr>
                <w:b w:val="0"/>
                <w:i w:val="0"/>
                <w:color w:val="1F2933"/>
                <w:sz w:val="19"/>
              </w:rPr>
              <w:t>124</w:t>
            </w:r>
          </w:p>
        </w:tc>
        <w:tc>
          <w:tcPr>
            <w:tcW w:type="dxa" w:w="1234"/>
            <w:shd w:val="clear" w:color="auto" w:fill="E7F6EA"/>
          </w:tcPr>
          <w:p>
            <w:pPr>
              <w:spacing w:after="20" w:before="20"/>
              <w:jc w:val="right"/>
            </w:pPr>
            <w:r>
              <w:rPr>
                <w:b w:val="0"/>
                <w:i w:val="0"/>
                <w:color w:val="1F2933"/>
                <w:sz w:val="19"/>
              </w:rPr>
              <w:t>19,659</w:t>
            </w:r>
          </w:p>
        </w:tc>
        <w:tc>
          <w:tcPr>
            <w:tcW w:type="dxa" w:w="1234"/>
            <w:shd w:val="clear" w:color="auto" w:fill="E7F6EA"/>
          </w:tcPr>
          <w:p>
            <w:pPr>
              <w:spacing w:after="20" w:before="20"/>
              <w:jc w:val="right"/>
            </w:pPr>
            <w:r>
              <w:rPr>
                <w:b w:val="0"/>
                <w:i w:val="0"/>
                <w:color w:val="1F2933"/>
                <w:sz w:val="19"/>
              </w:rPr>
              <w:t>37,418</w:t>
            </w:r>
          </w:p>
        </w:tc>
        <w:tc>
          <w:tcPr>
            <w:tcW w:type="dxa" w:w="1234"/>
            <w:shd w:val="clear" w:color="auto" w:fill="E7F6EA"/>
          </w:tcPr>
          <w:p>
            <w:pPr>
              <w:spacing w:after="20" w:before="20"/>
              <w:jc w:val="right"/>
            </w:pPr>
            <w:r>
              <w:rPr>
                <w:b w:val="0"/>
                <w:i w:val="0"/>
                <w:color w:val="1F2933"/>
                <w:sz w:val="19"/>
              </w:rPr>
              <w:t>53,562</w:t>
            </w:r>
          </w:p>
        </w:tc>
      </w:tr>
    </w:tbl>
    <w:p>
      <w:pPr>
        <w:spacing w:after="120" w:before="0"/>
      </w:pP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F5F8FB"/>
          </w:tcPr>
          <w:p>
            <w:pPr>
              <w:spacing w:after="0"/>
              <w:jc w:val="center"/>
            </w:pPr>
            <w:r>
              <w:rPr>
                <w:b/>
                <w:i w:val="0"/>
                <w:color w:val="00539B"/>
                <w:sz w:val="32"/>
              </w:rPr>
              <w:t>$53.6K</w:t>
            </w:r>
          </w:p>
        </w:tc>
        <w:tc>
          <w:tcPr>
            <w:tcW w:type="dxa" w:w="1728"/>
            <w:shd w:val="clear" w:color="auto" w:fill="F5F8FB"/>
          </w:tcPr>
          <w:p>
            <w:pPr>
              <w:spacing w:after="0"/>
              <w:jc w:val="center"/>
            </w:pPr>
            <w:r>
              <w:rPr>
                <w:b/>
                <w:i w:val="0"/>
                <w:color w:val="00539B"/>
                <w:sz w:val="32"/>
              </w:rPr>
              <w:t>~50%</w:t>
            </w:r>
          </w:p>
        </w:tc>
        <w:tc>
          <w:tcPr>
            <w:tcW w:type="dxa" w:w="1728"/>
            <w:shd w:val="clear" w:color="auto" w:fill="F5F8FB"/>
          </w:tcPr>
          <w:p>
            <w:pPr>
              <w:spacing w:after="0"/>
              <w:jc w:val="center"/>
            </w:pPr>
            <w:r>
              <w:rPr>
                <w:b/>
                <w:i w:val="0"/>
                <w:color w:val="00539B"/>
                <w:sz w:val="32"/>
              </w:rPr>
              <w:t>1.7 yr</w:t>
            </w:r>
          </w:p>
        </w:tc>
        <w:tc>
          <w:tcPr>
            <w:tcW w:type="dxa" w:w="1728"/>
            <w:shd w:val="clear" w:color="auto" w:fill="F5F8FB"/>
          </w:tcPr>
          <w:p>
            <w:pPr>
              <w:spacing w:after="0"/>
              <w:jc w:val="center"/>
            </w:pPr>
            <w:r>
              <w:rPr>
                <w:b/>
                <w:i w:val="0"/>
                <w:color w:val="00539B"/>
                <w:sz w:val="32"/>
              </w:rPr>
              <w:t>~2.0 yr</w:t>
            </w:r>
          </w:p>
        </w:tc>
        <w:tc>
          <w:tcPr>
            <w:tcW w:type="dxa" w:w="1728"/>
            <w:shd w:val="clear" w:color="auto" w:fill="F5F8FB"/>
          </w:tcPr>
          <w:p>
            <w:pPr>
              <w:spacing w:after="0"/>
              <w:jc w:val="center"/>
            </w:pPr>
            <w:r>
              <w:rPr>
                <w:b/>
                <w:i w:val="0"/>
                <w:color w:val="00539B"/>
                <w:sz w:val="32"/>
              </w:rPr>
              <w:t>189%</w:t>
            </w:r>
          </w:p>
        </w:tc>
      </w:tr>
      <w:tr>
        <w:tc>
          <w:tcPr>
            <w:tcW w:type="dxa" w:w="1728"/>
            <w:shd w:val="clear" w:color="auto" w:fill="F5F8FB"/>
          </w:tcPr>
          <w:p>
            <w:pPr>
              <w:spacing w:before="0"/>
              <w:jc w:val="center"/>
            </w:pPr>
            <w:r>
              <w:rPr>
                <w:b w:val="0"/>
                <w:i w:val="0"/>
                <w:color w:val="52606D"/>
                <w:sz w:val="17"/>
              </w:rPr>
              <w:t>NPV (5-yr,10%)</w:t>
            </w:r>
          </w:p>
        </w:tc>
        <w:tc>
          <w:tcPr>
            <w:tcW w:type="dxa" w:w="1728"/>
            <w:shd w:val="clear" w:color="auto" w:fill="F5F8FB"/>
          </w:tcPr>
          <w:p>
            <w:pPr>
              <w:spacing w:before="0"/>
              <w:jc w:val="center"/>
            </w:pPr>
            <w:r>
              <w:rPr>
                <w:b w:val="0"/>
                <w:i w:val="0"/>
                <w:color w:val="52606D"/>
                <w:sz w:val="17"/>
              </w:rPr>
              <w:t>IRR</w:t>
            </w:r>
          </w:p>
        </w:tc>
        <w:tc>
          <w:tcPr>
            <w:tcW w:type="dxa" w:w="1728"/>
            <w:shd w:val="clear" w:color="auto" w:fill="F5F8FB"/>
          </w:tcPr>
          <w:p>
            <w:pPr>
              <w:spacing w:before="0"/>
              <w:jc w:val="center"/>
            </w:pPr>
            <w:r>
              <w:rPr>
                <w:b w:val="0"/>
                <w:i w:val="0"/>
                <w:color w:val="52606D"/>
                <w:sz w:val="17"/>
              </w:rPr>
              <w:t>Simple payback</w:t>
            </w:r>
          </w:p>
        </w:tc>
        <w:tc>
          <w:tcPr>
            <w:tcW w:type="dxa" w:w="1728"/>
            <w:shd w:val="clear" w:color="auto" w:fill="F5F8FB"/>
          </w:tcPr>
          <w:p>
            <w:pPr>
              <w:spacing w:before="0"/>
              <w:jc w:val="center"/>
            </w:pPr>
            <w:r>
              <w:rPr>
                <w:b w:val="0"/>
                <w:i w:val="0"/>
                <w:color w:val="52606D"/>
                <w:sz w:val="17"/>
              </w:rPr>
              <w:t>Disc. payback</w:t>
            </w:r>
          </w:p>
        </w:tc>
        <w:tc>
          <w:tcPr>
            <w:tcW w:type="dxa" w:w="1728"/>
            <w:shd w:val="clear" w:color="auto" w:fill="F5F8FB"/>
          </w:tcPr>
          <w:p>
            <w:pPr>
              <w:spacing w:before="0"/>
              <w:jc w:val="center"/>
            </w:pPr>
            <w:r>
              <w:rPr>
                <w:b w:val="0"/>
                <w:i w:val="0"/>
                <w:color w:val="52606D"/>
                <w:sz w:val="17"/>
              </w:rPr>
              <w:t>5-yr ROI</w:t>
            </w:r>
          </w:p>
        </w:tc>
      </w:tr>
    </w:tbl>
    <w:p>
      <w:pPr>
        <w:spacing w:after="160" w:before="0"/>
      </w:pPr>
    </w:p>
    <w:p>
      <w:pPr>
        <w:spacing w:after="60"/>
      </w:pPr>
      <w:r>
        <w:rPr>
          <w:b w:val="0"/>
          <w:i w:val="0"/>
          <w:color w:val="1F2933"/>
          <w:sz w:val="21"/>
        </w:rPr>
        <w:t>ROI equals (5-yr net benefit of $130K less investment of $45K) divided by $45K, which is 189%. Investment is recovered partway through Year 2.</w:t>
      </w:r>
    </w:p>
    <w:p>
      <w:pPr>
        <w:spacing w:before="160" w:after="20"/>
      </w:pPr>
      <w:r>
        <w:rPr>
          <w:b/>
          <w:i w:val="0"/>
          <w:color w:val="003C71"/>
          <w:sz w:val="22"/>
        </w:rPr>
        <w:t>Sensitivity / scenario analysis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003C71"/>
          </w:tcPr>
          <w:p>
            <w:pPr>
              <w:spacing w:after="20" w:before="20"/>
            </w:pPr>
            <w:r>
              <w:rPr>
                <w:b/>
                <w:i w:val="0"/>
                <w:color w:val="FFFFFF"/>
                <w:sz w:val="19"/>
              </w:rPr>
              <w:t>Scenario</w:t>
            </w:r>
          </w:p>
        </w:tc>
        <w:tc>
          <w:tcPr>
            <w:tcW w:type="dxa" w:w="1440"/>
            <w:shd w:val="clear" w:color="auto" w:fill="003C71"/>
          </w:tcPr>
          <w:p>
            <w:pPr>
              <w:spacing w:after="20" w:before="20"/>
              <w:jc w:val="right"/>
            </w:pPr>
            <w:r>
              <w:rPr>
                <w:b/>
                <w:i w:val="0"/>
                <w:color w:val="FFFFFF"/>
                <w:sz w:val="19"/>
              </w:rPr>
              <w:t>Investment</w:t>
            </w:r>
          </w:p>
        </w:tc>
        <w:tc>
          <w:tcPr>
            <w:tcW w:type="dxa" w:w="1440"/>
            <w:shd w:val="clear" w:color="auto" w:fill="003C71"/>
          </w:tcPr>
          <w:p>
            <w:pPr>
              <w:spacing w:after="20" w:before="20"/>
              <w:jc w:val="right"/>
            </w:pPr>
            <w:r>
              <w:rPr>
                <w:b/>
                <w:i w:val="0"/>
                <w:color w:val="FFFFFF"/>
                <w:sz w:val="19"/>
              </w:rPr>
              <w:t>Net benefit/yr</w:t>
            </w:r>
          </w:p>
        </w:tc>
        <w:tc>
          <w:tcPr>
            <w:tcW w:type="dxa" w:w="1440"/>
            <w:shd w:val="clear" w:color="auto" w:fill="003C71"/>
          </w:tcPr>
          <w:p>
            <w:pPr>
              <w:spacing w:after="20" w:before="20"/>
              <w:jc w:val="right"/>
            </w:pPr>
            <w:r>
              <w:rPr>
                <w:b/>
                <w:i w:val="0"/>
                <w:color w:val="FFFFFF"/>
                <w:sz w:val="19"/>
              </w:rPr>
              <w:t>NPV (10%,5yr)</w:t>
            </w:r>
          </w:p>
        </w:tc>
        <w:tc>
          <w:tcPr>
            <w:tcW w:type="dxa" w:w="1440"/>
            <w:shd w:val="clear" w:color="auto" w:fill="003C71"/>
          </w:tcPr>
          <w:p>
            <w:pPr>
              <w:spacing w:after="20" w:before="20"/>
              <w:jc w:val="right"/>
            </w:pPr>
            <w:r>
              <w:rPr>
                <w:b/>
                <w:i w:val="0"/>
                <w:color w:val="FFFFFF"/>
                <w:sz w:val="19"/>
              </w:rPr>
              <w:t>IRR</w:t>
            </w:r>
          </w:p>
        </w:tc>
        <w:tc>
          <w:tcPr>
            <w:tcW w:type="dxa" w:w="1440"/>
            <w:shd w:val="clear" w:color="auto" w:fill="003C71"/>
          </w:tcPr>
          <w:p>
            <w:pPr>
              <w:spacing w:after="20" w:before="20"/>
              <w:jc w:val="right"/>
            </w:pPr>
            <w:r>
              <w:rPr>
                <w:b/>
                <w:i w:val="0"/>
                <w:color w:val="FFFFFF"/>
                <w:sz w:val="19"/>
              </w:rPr>
              <w:t>Payback</w:t>
            </w:r>
          </w:p>
        </w:tc>
      </w:tr>
      <w:tr>
        <w:tc>
          <w:tcPr>
            <w:tcW w:type="dxa" w:w="1440"/>
          </w:tcPr>
          <w:p>
            <w:pPr>
              <w:spacing w:after="20" w:before="20"/>
            </w:pPr>
            <w:r>
              <w:rPr>
                <w:b w:val="0"/>
                <w:i w:val="0"/>
                <w:color w:val="1F2933"/>
                <w:sz w:val="19"/>
              </w:rPr>
              <w:t>Conservative</w:t>
            </w:r>
          </w:p>
        </w:tc>
        <w:tc>
          <w:tcPr>
            <w:tcW w:type="dxa" w:w="1440"/>
          </w:tcPr>
          <w:p>
            <w:pPr>
              <w:spacing w:after="20" w:before="20"/>
              <w:jc w:val="right"/>
            </w:pPr>
            <w:r>
              <w:rPr>
                <w:b w:val="0"/>
                <w:i w:val="0"/>
                <w:color w:val="1F2933"/>
                <w:sz w:val="19"/>
              </w:rPr>
              <w:t>$60,000</w:t>
            </w:r>
          </w:p>
        </w:tc>
        <w:tc>
          <w:tcPr>
            <w:tcW w:type="dxa" w:w="1440"/>
          </w:tcPr>
          <w:p>
            <w:pPr>
              <w:spacing w:after="20" w:before="20"/>
              <w:jc w:val="right"/>
            </w:pPr>
            <w:r>
              <w:rPr>
                <w:b w:val="0"/>
                <w:i w:val="0"/>
                <w:color w:val="1F2933"/>
                <w:sz w:val="19"/>
              </w:rPr>
              <w:t>$13,400</w:t>
            </w:r>
          </w:p>
        </w:tc>
        <w:tc>
          <w:tcPr>
            <w:tcW w:type="dxa" w:w="1440"/>
          </w:tcPr>
          <w:p>
            <w:pPr>
              <w:spacing w:after="20" w:before="20"/>
              <w:jc w:val="right"/>
            </w:pPr>
            <w:r>
              <w:rPr>
                <w:b w:val="0"/>
                <w:i w:val="0"/>
                <w:color w:val="1F2933"/>
                <w:sz w:val="19"/>
              </w:rPr>
              <w:t>($9,200)</w:t>
            </w:r>
          </w:p>
        </w:tc>
        <w:tc>
          <w:tcPr>
            <w:tcW w:type="dxa" w:w="1440"/>
          </w:tcPr>
          <w:p>
            <w:pPr>
              <w:spacing w:after="20" w:before="20"/>
              <w:jc w:val="right"/>
            </w:pPr>
            <w:r>
              <w:rPr>
                <w:b w:val="0"/>
                <w:i w:val="0"/>
                <w:color w:val="1F2933"/>
                <w:sz w:val="19"/>
              </w:rPr>
              <w:t>~4%</w:t>
            </w:r>
          </w:p>
        </w:tc>
        <w:tc>
          <w:tcPr>
            <w:tcW w:type="dxa" w:w="1440"/>
          </w:tcPr>
          <w:p>
            <w:pPr>
              <w:spacing w:after="20" w:before="20"/>
              <w:jc w:val="right"/>
            </w:pPr>
            <w:r>
              <w:rPr>
                <w:b w:val="0"/>
                <w:i w:val="0"/>
                <w:color w:val="1F2933"/>
                <w:sz w:val="19"/>
              </w:rPr>
              <w:t>4.5 yr</w:t>
            </w:r>
          </w:p>
        </w:tc>
      </w:tr>
      <w:tr>
        <w:tc>
          <w:tcPr>
            <w:tcW w:type="dxa" w:w="1440"/>
            <w:shd w:val="clear" w:color="auto" w:fill="E7F6EA"/>
          </w:tcPr>
          <w:p>
            <w:pPr>
              <w:spacing w:after="20" w:before="20"/>
            </w:pPr>
            <w:r>
              <w:rPr>
                <w:b/>
                <w:i w:val="0"/>
                <w:color w:val="1F2933"/>
                <w:sz w:val="19"/>
              </w:rPr>
              <w:t>Base</w:t>
            </w:r>
          </w:p>
        </w:tc>
        <w:tc>
          <w:tcPr>
            <w:tcW w:type="dxa" w:w="1440"/>
            <w:shd w:val="clear" w:color="auto" w:fill="E7F6EA"/>
          </w:tcPr>
          <w:p>
            <w:pPr>
              <w:spacing w:after="20" w:before="20"/>
              <w:jc w:val="right"/>
            </w:pPr>
            <w:r>
              <w:rPr>
                <w:b w:val="0"/>
                <w:i w:val="0"/>
                <w:color w:val="1F2933"/>
                <w:sz w:val="19"/>
              </w:rPr>
              <w:t>$45,000</w:t>
            </w:r>
          </w:p>
        </w:tc>
        <w:tc>
          <w:tcPr>
            <w:tcW w:type="dxa" w:w="1440"/>
            <w:shd w:val="clear" w:color="auto" w:fill="E7F6EA"/>
          </w:tcPr>
          <w:p>
            <w:pPr>
              <w:spacing w:after="20" w:before="20"/>
              <w:jc w:val="right"/>
            </w:pPr>
            <w:r>
              <w:rPr>
                <w:b w:val="0"/>
                <w:i w:val="0"/>
                <w:color w:val="1F2933"/>
                <w:sz w:val="19"/>
              </w:rPr>
              <w:t>$26,000</w:t>
            </w:r>
          </w:p>
        </w:tc>
        <w:tc>
          <w:tcPr>
            <w:tcW w:type="dxa" w:w="1440"/>
            <w:shd w:val="clear" w:color="auto" w:fill="E7F6EA"/>
          </w:tcPr>
          <w:p>
            <w:pPr>
              <w:spacing w:after="20" w:before="20"/>
              <w:jc w:val="right"/>
            </w:pPr>
            <w:r>
              <w:rPr>
                <w:b w:val="0"/>
                <w:i w:val="0"/>
                <w:color w:val="1F2933"/>
                <w:sz w:val="19"/>
              </w:rPr>
              <w:t>$53,600</w:t>
            </w:r>
          </w:p>
        </w:tc>
        <w:tc>
          <w:tcPr>
            <w:tcW w:type="dxa" w:w="1440"/>
            <w:shd w:val="clear" w:color="auto" w:fill="E7F6EA"/>
          </w:tcPr>
          <w:p>
            <w:pPr>
              <w:spacing w:after="20" w:before="20"/>
              <w:jc w:val="right"/>
            </w:pPr>
            <w:r>
              <w:rPr>
                <w:b w:val="0"/>
                <w:i w:val="0"/>
                <w:color w:val="1F2933"/>
                <w:sz w:val="19"/>
              </w:rPr>
              <w:t>~50%</w:t>
            </w:r>
          </w:p>
        </w:tc>
        <w:tc>
          <w:tcPr>
            <w:tcW w:type="dxa" w:w="1440"/>
            <w:shd w:val="clear" w:color="auto" w:fill="E7F6EA"/>
          </w:tcPr>
          <w:p>
            <w:pPr>
              <w:spacing w:after="20" w:before="20"/>
              <w:jc w:val="right"/>
            </w:pPr>
            <w:r>
              <w:rPr>
                <w:b w:val="0"/>
                <w:i w:val="0"/>
                <w:color w:val="1F2933"/>
                <w:sz w:val="19"/>
              </w:rPr>
              <w:t>1.7 yr</w:t>
            </w:r>
          </w:p>
        </w:tc>
      </w:tr>
      <w:tr>
        <w:tc>
          <w:tcPr>
            <w:tcW w:type="dxa" w:w="1440"/>
          </w:tcPr>
          <w:p>
            <w:pPr>
              <w:spacing w:after="20" w:before="20"/>
            </w:pPr>
            <w:r>
              <w:rPr>
                <w:b w:val="0"/>
                <w:i w:val="0"/>
                <w:color w:val="1F2933"/>
                <w:sz w:val="19"/>
              </w:rPr>
              <w:t>Optimistic</w:t>
            </w:r>
          </w:p>
        </w:tc>
        <w:tc>
          <w:tcPr>
            <w:tcW w:type="dxa" w:w="1440"/>
          </w:tcPr>
          <w:p>
            <w:pPr>
              <w:spacing w:after="20" w:before="20"/>
              <w:jc w:val="right"/>
            </w:pPr>
            <w:r>
              <w:rPr>
                <w:b w:val="0"/>
                <w:i w:val="0"/>
                <w:color w:val="1F2933"/>
                <w:sz w:val="19"/>
              </w:rPr>
              <w:t>$35,000</w:t>
            </w:r>
          </w:p>
        </w:tc>
        <w:tc>
          <w:tcPr>
            <w:tcW w:type="dxa" w:w="1440"/>
          </w:tcPr>
          <w:p>
            <w:pPr>
              <w:spacing w:after="20" w:before="20"/>
              <w:jc w:val="right"/>
            </w:pPr>
            <w:r>
              <w:rPr>
                <w:b w:val="0"/>
                <w:i w:val="0"/>
                <w:color w:val="1F2933"/>
                <w:sz w:val="19"/>
              </w:rPr>
              <w:t>$50,600</w:t>
            </w:r>
          </w:p>
        </w:tc>
        <w:tc>
          <w:tcPr>
            <w:tcW w:type="dxa" w:w="1440"/>
          </w:tcPr>
          <w:p>
            <w:pPr>
              <w:spacing w:after="20" w:before="20"/>
              <w:jc w:val="right"/>
            </w:pPr>
            <w:r>
              <w:rPr>
                <w:b w:val="0"/>
                <w:i w:val="0"/>
                <w:color w:val="1F2933"/>
                <w:sz w:val="19"/>
              </w:rPr>
              <w:t>$156,800</w:t>
            </w:r>
          </w:p>
        </w:tc>
        <w:tc>
          <w:tcPr>
            <w:tcW w:type="dxa" w:w="1440"/>
          </w:tcPr>
          <w:p>
            <w:pPr>
              <w:spacing w:after="20" w:before="20"/>
              <w:jc w:val="right"/>
            </w:pPr>
            <w:r>
              <w:rPr>
                <w:b w:val="0"/>
                <w:i w:val="0"/>
                <w:color w:val="1F2933"/>
                <w:sz w:val="19"/>
              </w:rPr>
              <w:t>over 140%</w:t>
            </w:r>
          </w:p>
        </w:tc>
        <w:tc>
          <w:tcPr>
            <w:tcW w:type="dxa" w:w="1440"/>
          </w:tcPr>
          <w:p>
            <w:pPr>
              <w:spacing w:after="20" w:before="20"/>
              <w:jc w:val="right"/>
            </w:pPr>
            <w:r>
              <w:rPr>
                <w:b w:val="0"/>
                <w:i w:val="0"/>
                <w:color w:val="1F2933"/>
                <w:sz w:val="19"/>
              </w:rPr>
              <w:t>0.7 yr</w:t>
            </w:r>
          </w:p>
        </w:tc>
      </w:tr>
    </w:tbl>
    <w:p>
      <w:pPr>
        <w:spacing w:after="120" w:before="0"/>
      </w:pPr>
    </w:p>
    <w:p>
      <w:pPr>
        <w:spacing w:after="60"/>
      </w:pPr>
      <w:r>
        <w:rPr>
          <w:b/>
          <w:i w:val="0"/>
          <w:color w:val="003C71"/>
          <w:sz w:val="21"/>
        </w:rPr>
        <w:t xml:space="preserve">What moves the result most: </w:t>
      </w:r>
      <w:r>
        <w:rPr>
          <w:b w:val="0"/>
          <w:i w:val="0"/>
          <w:color w:val="1F2933"/>
          <w:sz w:val="21"/>
        </w:rPr>
        <w:t>the hours saved each month, the fully-loaded analyst rate, and the one-time build cost. The base and optimistic cases both stay comfortably positive. Only the conservative case gets tight, and that is a higher build cost meeting lower measured savings, so nail those two down first.</w:t>
      </w:r>
    </w:p>
    <w:p>
      <w:pPr>
        <w:spacing w:before="280" w:after="40"/>
        <w:pBdr>
          <w:bottom w:val="single" w:sz="6" w:space="2" w:color="00A9CE"/>
        </w:pBdr>
      </w:pPr>
      <w:r>
        <w:rPr>
          <w:b/>
          <w:i w:val="0"/>
          <w:color w:val="00A9CE"/>
          <w:sz w:val="28"/>
        </w:rPr>
        <w:t xml:space="preserve">8  </w:t>
      </w:r>
      <w:r>
        <w:rPr>
          <w:b/>
          <w:i w:val="0"/>
          <w:color w:val="00539B"/>
          <w:sz w:val="28"/>
        </w:rPr>
        <w:t>Risks and Mitigations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456"/>
            <w:shd w:val="clear" w:color="auto" w:fill="003C71"/>
          </w:tcPr>
          <w:p>
            <w:pPr>
              <w:spacing w:after="20" w:before="20"/>
            </w:pPr>
            <w:r>
              <w:rPr>
                <w:b/>
                <w:i w:val="0"/>
                <w:color w:val="FFFFFF"/>
                <w:sz w:val="19"/>
              </w:rPr>
              <w:t>Risk</w:t>
            </w:r>
          </w:p>
        </w:tc>
        <w:tc>
          <w:tcPr>
            <w:tcW w:type="dxa" w:w="1296"/>
            <w:shd w:val="clear" w:color="auto" w:fill="003C71"/>
          </w:tcPr>
          <w:p>
            <w:pPr>
              <w:spacing w:after="20" w:before="20"/>
            </w:pPr>
            <w:r>
              <w:rPr>
                <w:b/>
                <w:i w:val="0"/>
                <w:color w:val="FFFFFF"/>
                <w:sz w:val="19"/>
              </w:rPr>
              <w:t>Likelihood</w:t>
            </w:r>
          </w:p>
        </w:tc>
        <w:tc>
          <w:tcPr>
            <w:tcW w:type="dxa" w:w="1152"/>
            <w:shd w:val="clear" w:color="auto" w:fill="003C71"/>
          </w:tcPr>
          <w:p>
            <w:pPr>
              <w:spacing w:after="20" w:before="20"/>
            </w:pPr>
            <w:r>
              <w:rPr>
                <w:b/>
                <w:i w:val="0"/>
                <w:color w:val="FFFFFF"/>
                <w:sz w:val="19"/>
              </w:rPr>
              <w:t>Impact</w:t>
            </w:r>
          </w:p>
        </w:tc>
        <w:tc>
          <w:tcPr>
            <w:tcW w:type="dxa" w:w="3600"/>
            <w:shd w:val="clear" w:color="auto" w:fill="003C71"/>
          </w:tcPr>
          <w:p>
            <w:pPr>
              <w:spacing w:after="20" w:before="20"/>
            </w:pPr>
            <w:r>
              <w:rPr>
                <w:b/>
                <w:i w:val="0"/>
                <w:color w:val="FFFFFF"/>
                <w:sz w:val="19"/>
              </w:rPr>
              <w:t>Mitigation</w:t>
            </w:r>
          </w:p>
        </w:tc>
      </w:tr>
      <w:tr>
        <w:tc>
          <w:tcPr>
            <w:tcW w:type="dxa" w:w="3456"/>
          </w:tcPr>
          <w:p>
            <w:pPr>
              <w:spacing w:after="20" w:before="20"/>
            </w:pPr>
            <w:r>
              <w:rPr>
                <w:b w:val="0"/>
                <w:i w:val="0"/>
                <w:color w:val="1F2933"/>
                <w:sz w:val="19"/>
              </w:rPr>
              <w:t>Source workbook format changes (columns/layout)</w:t>
            </w:r>
          </w:p>
        </w:tc>
        <w:tc>
          <w:tcPr>
            <w:tcW w:type="dxa" w:w="1296"/>
          </w:tcPr>
          <w:p>
            <w:pPr>
              <w:spacing w:after="20" w:before="20"/>
            </w:pPr>
            <w:r>
              <w:rPr>
                <w:b w:val="0"/>
                <w:i w:val="0"/>
                <w:color w:val="1F2933"/>
                <w:sz w:val="19"/>
              </w:rPr>
              <w:t>Medium</w:t>
            </w:r>
          </w:p>
        </w:tc>
        <w:tc>
          <w:tcPr>
            <w:tcW w:type="dxa" w:w="1152"/>
          </w:tcPr>
          <w:p>
            <w:pPr>
              <w:spacing w:after="20" w:before="20"/>
            </w:pPr>
            <w:r>
              <w:rPr>
                <w:b w:val="0"/>
                <w:i w:val="0"/>
                <w:color w:val="1F2933"/>
                <w:sz w:val="19"/>
              </w:rPr>
              <w:t>High</w:t>
            </w:r>
          </w:p>
        </w:tc>
        <w:tc>
          <w:tcPr>
            <w:tcW w:type="dxa" w:w="3600"/>
          </w:tcPr>
          <w:p>
            <w:pPr>
              <w:spacing w:after="20" w:before="20"/>
            </w:pPr>
            <w:r>
              <w:rPr>
                <w:b w:val="0"/>
                <w:i w:val="0"/>
                <w:color w:val="1F2933"/>
                <w:sz w:val="19"/>
              </w:rPr>
              <w:t>Robust column mapping plus validation that fails clearly when structure changes</w:t>
            </w:r>
          </w:p>
        </w:tc>
      </w:tr>
      <w:tr>
        <w:tc>
          <w:tcPr>
            <w:tcW w:type="dxa" w:w="3456"/>
            <w:shd w:val="clear" w:color="auto" w:fill="F5F8FB"/>
          </w:tcPr>
          <w:p>
            <w:pPr>
              <w:spacing w:after="20" w:before="20"/>
            </w:pPr>
            <w:r>
              <w:rPr>
                <w:b w:val="0"/>
                <w:i w:val="0"/>
                <w:color w:val="1F2933"/>
                <w:sz w:val="19"/>
              </w:rPr>
              <w:t>Incorrect Payment Made / Remaining mapping</w:t>
            </w:r>
          </w:p>
        </w:tc>
        <w:tc>
          <w:tcPr>
            <w:tcW w:type="dxa" w:w="1296"/>
            <w:shd w:val="clear" w:color="auto" w:fill="F5F8FB"/>
          </w:tcPr>
          <w:p>
            <w:pPr>
              <w:spacing w:after="20" w:before="20"/>
            </w:pPr>
            <w:r>
              <w:rPr>
                <w:b w:val="0"/>
                <w:i w:val="0"/>
                <w:color w:val="1F2933"/>
                <w:sz w:val="19"/>
              </w:rPr>
              <w:t>Low</w:t>
            </w:r>
          </w:p>
        </w:tc>
        <w:tc>
          <w:tcPr>
            <w:tcW w:type="dxa" w:w="1152"/>
            <w:shd w:val="clear" w:color="auto" w:fill="F5F8FB"/>
          </w:tcPr>
          <w:p>
            <w:pPr>
              <w:spacing w:after="20" w:before="20"/>
            </w:pPr>
            <w:r>
              <w:rPr>
                <w:b w:val="0"/>
                <w:i w:val="0"/>
                <w:color w:val="1F2933"/>
                <w:sz w:val="19"/>
              </w:rPr>
              <w:t>High</w:t>
            </w:r>
          </w:p>
        </w:tc>
        <w:tc>
          <w:tcPr>
            <w:tcW w:type="dxa" w:w="3600"/>
            <w:shd w:val="clear" w:color="auto" w:fill="F5F8FB"/>
          </w:tcPr>
          <w:p>
            <w:pPr>
              <w:spacing w:after="20" w:before="20"/>
            </w:pPr>
            <w:r>
              <w:rPr>
                <w:b w:val="0"/>
                <w:i w:val="0"/>
                <w:color w:val="1F2933"/>
                <w:sz w:val="19"/>
              </w:rPr>
              <w:t>Mandatory user confirmation before processing (never assumed)</w:t>
            </w:r>
          </w:p>
        </w:tc>
      </w:tr>
      <w:tr>
        <w:tc>
          <w:tcPr>
            <w:tcW w:type="dxa" w:w="3456"/>
          </w:tcPr>
          <w:p>
            <w:pPr>
              <w:spacing w:after="20" w:before="20"/>
            </w:pPr>
            <w:r>
              <w:rPr>
                <w:b w:val="0"/>
                <w:i w:val="0"/>
                <w:color w:val="1F2933"/>
                <w:sz w:val="19"/>
              </w:rPr>
              <w:t>Fiscal Period mis-detected, wrong divisor</w:t>
            </w:r>
          </w:p>
        </w:tc>
        <w:tc>
          <w:tcPr>
            <w:tcW w:type="dxa" w:w="1296"/>
          </w:tcPr>
          <w:p>
            <w:pPr>
              <w:spacing w:after="20" w:before="20"/>
            </w:pPr>
            <w:r>
              <w:rPr>
                <w:b w:val="0"/>
                <w:i w:val="0"/>
                <w:color w:val="1F2933"/>
                <w:sz w:val="19"/>
              </w:rPr>
              <w:t>Low</w:t>
            </w:r>
          </w:p>
        </w:tc>
        <w:tc>
          <w:tcPr>
            <w:tcW w:type="dxa" w:w="1152"/>
          </w:tcPr>
          <w:p>
            <w:pPr>
              <w:spacing w:after="20" w:before="20"/>
            </w:pPr>
            <w:r>
              <w:rPr>
                <w:b w:val="0"/>
                <w:i w:val="0"/>
                <w:color w:val="1F2933"/>
                <w:sz w:val="19"/>
              </w:rPr>
              <w:t>Medium</w:t>
            </w:r>
          </w:p>
        </w:tc>
        <w:tc>
          <w:tcPr>
            <w:tcW w:type="dxa" w:w="3600"/>
          </w:tcPr>
          <w:p>
            <w:pPr>
              <w:spacing w:after="20" w:before="20"/>
            </w:pPr>
            <w:r>
              <w:rPr>
                <w:b w:val="0"/>
                <w:i w:val="0"/>
                <w:color w:val="1F2933"/>
                <w:sz w:val="19"/>
              </w:rPr>
              <w:t>Auto-derive divisor; prompt only for Fiscal Period when undetermined</w:t>
            </w:r>
          </w:p>
        </w:tc>
      </w:tr>
      <w:tr>
        <w:tc>
          <w:tcPr>
            <w:tcW w:type="dxa" w:w="3456"/>
            <w:shd w:val="clear" w:color="auto" w:fill="F5F8FB"/>
          </w:tcPr>
          <w:p>
            <w:pPr>
              <w:spacing w:after="20" w:before="20"/>
            </w:pPr>
            <w:r>
              <w:rPr>
                <w:b w:val="0"/>
                <w:i w:val="0"/>
                <w:color w:val="1F2933"/>
                <w:sz w:val="19"/>
              </w:rPr>
              <w:t>User adoption / trust in automated accrual</w:t>
            </w:r>
          </w:p>
        </w:tc>
        <w:tc>
          <w:tcPr>
            <w:tcW w:type="dxa" w:w="1296"/>
            <w:shd w:val="clear" w:color="auto" w:fill="F5F8FB"/>
          </w:tcPr>
          <w:p>
            <w:pPr>
              <w:spacing w:after="20" w:before="20"/>
            </w:pPr>
            <w:r>
              <w:rPr>
                <w:b w:val="0"/>
                <w:i w:val="0"/>
                <w:color w:val="1F2933"/>
                <w:sz w:val="19"/>
              </w:rPr>
              <w:t>Medium</w:t>
            </w:r>
          </w:p>
        </w:tc>
        <w:tc>
          <w:tcPr>
            <w:tcW w:type="dxa" w:w="1152"/>
            <w:shd w:val="clear" w:color="auto" w:fill="F5F8FB"/>
          </w:tcPr>
          <w:p>
            <w:pPr>
              <w:spacing w:after="20" w:before="20"/>
            </w:pPr>
            <w:r>
              <w:rPr>
                <w:b w:val="0"/>
                <w:i w:val="0"/>
                <w:color w:val="1F2933"/>
                <w:sz w:val="19"/>
              </w:rPr>
              <w:t>Medium</w:t>
            </w:r>
          </w:p>
        </w:tc>
        <w:tc>
          <w:tcPr>
            <w:tcW w:type="dxa" w:w="3600"/>
            <w:shd w:val="clear" w:color="auto" w:fill="F5F8FB"/>
          </w:tcPr>
          <w:p>
            <w:pPr>
              <w:spacing w:after="20" w:before="20"/>
            </w:pPr>
            <w:r>
              <w:rPr>
                <w:b w:val="0"/>
                <w:i w:val="0"/>
                <w:color w:val="1F2933"/>
                <w:sz w:val="19"/>
              </w:rPr>
              <w:t>Parallel run vs manual for 1 to 2 months; transparent validation report</w:t>
            </w:r>
          </w:p>
        </w:tc>
      </w:tr>
      <w:tr>
        <w:tc>
          <w:tcPr>
            <w:tcW w:type="dxa" w:w="3456"/>
          </w:tcPr>
          <w:p>
            <w:pPr>
              <w:spacing w:after="20" w:before="20"/>
            </w:pPr>
            <w:r>
              <w:rPr>
                <w:b w:val="0"/>
                <w:i w:val="0"/>
                <w:color w:val="1F2933"/>
                <w:sz w:val="19"/>
              </w:rPr>
              <w:t>Audit acceptance of preserved evidence</w:t>
            </w:r>
          </w:p>
        </w:tc>
        <w:tc>
          <w:tcPr>
            <w:tcW w:type="dxa" w:w="1296"/>
          </w:tcPr>
          <w:p>
            <w:pPr>
              <w:spacing w:after="20" w:before="20"/>
            </w:pPr>
            <w:r>
              <w:rPr>
                <w:b w:val="0"/>
                <w:i w:val="0"/>
                <w:color w:val="1F2933"/>
                <w:sz w:val="19"/>
              </w:rPr>
              <w:t>Low</w:t>
            </w:r>
          </w:p>
        </w:tc>
        <w:tc>
          <w:tcPr>
            <w:tcW w:type="dxa" w:w="1152"/>
          </w:tcPr>
          <w:p>
            <w:pPr>
              <w:spacing w:after="20" w:before="20"/>
            </w:pPr>
            <w:r>
              <w:rPr>
                <w:b w:val="0"/>
                <w:i w:val="0"/>
                <w:color w:val="1F2933"/>
                <w:sz w:val="19"/>
              </w:rPr>
              <w:t>Medium</w:t>
            </w:r>
          </w:p>
        </w:tc>
        <w:tc>
          <w:tcPr>
            <w:tcW w:type="dxa" w:w="3600"/>
          </w:tcPr>
          <w:p>
            <w:pPr>
              <w:spacing w:after="20" w:before="20"/>
            </w:pPr>
            <w:r>
              <w:rPr>
                <w:b w:val="0"/>
                <w:i w:val="0"/>
                <w:color w:val="1F2933"/>
                <w:sz w:val="19"/>
              </w:rPr>
              <w:t>Preserve screenshots unaltered; align with audit early</w:t>
            </w:r>
          </w:p>
        </w:tc>
      </w:tr>
      <w:tr>
        <w:tc>
          <w:tcPr>
            <w:tcW w:type="dxa" w:w="3456"/>
            <w:shd w:val="clear" w:color="auto" w:fill="F5F8FB"/>
          </w:tcPr>
          <w:p>
            <w:pPr>
              <w:spacing w:after="20" w:before="20"/>
            </w:pPr>
            <w:r>
              <w:rPr>
                <w:b w:val="0"/>
                <w:i w:val="0"/>
                <w:color w:val="1F2933"/>
                <w:sz w:val="19"/>
              </w:rPr>
              <w:t>Estimated benefits not realized</w:t>
            </w:r>
          </w:p>
        </w:tc>
        <w:tc>
          <w:tcPr>
            <w:tcW w:type="dxa" w:w="1296"/>
            <w:shd w:val="clear" w:color="auto" w:fill="F5F8FB"/>
          </w:tcPr>
          <w:p>
            <w:pPr>
              <w:spacing w:after="20" w:before="20"/>
            </w:pPr>
            <w:r>
              <w:rPr>
                <w:b w:val="0"/>
                <w:i w:val="0"/>
                <w:color w:val="1F2933"/>
                <w:sz w:val="19"/>
              </w:rPr>
              <w:t>Medium</w:t>
            </w:r>
          </w:p>
        </w:tc>
        <w:tc>
          <w:tcPr>
            <w:tcW w:type="dxa" w:w="1152"/>
            <w:shd w:val="clear" w:color="auto" w:fill="F5F8FB"/>
          </w:tcPr>
          <w:p>
            <w:pPr>
              <w:spacing w:after="20" w:before="20"/>
            </w:pPr>
            <w:r>
              <w:rPr>
                <w:b w:val="0"/>
                <w:i w:val="0"/>
                <w:color w:val="1F2933"/>
                <w:sz w:val="19"/>
              </w:rPr>
              <w:t>Medium</w:t>
            </w:r>
          </w:p>
        </w:tc>
        <w:tc>
          <w:tcPr>
            <w:tcW w:type="dxa" w:w="3600"/>
            <w:shd w:val="clear" w:color="auto" w:fill="F5F8FB"/>
          </w:tcPr>
          <w:p>
            <w:pPr>
              <w:spacing w:after="20" w:before="20"/>
            </w:pPr>
            <w:r>
              <w:rPr>
                <w:b w:val="0"/>
                <w:i w:val="0"/>
                <w:color w:val="1F2933"/>
                <w:sz w:val="19"/>
              </w:rPr>
              <w:t>Baseline current effort before build; measure post-launch vs KPIs</w:t>
            </w:r>
          </w:p>
        </w:tc>
      </w:tr>
    </w:tbl>
    <w:p>
      <w:pPr>
        <w:spacing w:after="120" w:before="0"/>
      </w:pPr>
    </w:p>
    <w:p>
      <w:pPr>
        <w:spacing w:before="280" w:after="40"/>
        <w:pBdr>
          <w:bottom w:val="single" w:sz="6" w:space="2" w:color="00A9CE"/>
        </w:pBdr>
      </w:pPr>
      <w:r>
        <w:rPr>
          <w:b/>
          <w:i w:val="0"/>
          <w:color w:val="00A9CE"/>
          <w:sz w:val="28"/>
        </w:rPr>
        <w:t xml:space="preserve">9  </w:t>
      </w:r>
      <w:r>
        <w:rPr>
          <w:b/>
          <w:i w:val="0"/>
          <w:color w:val="00539B"/>
          <w:sz w:val="28"/>
        </w:rPr>
        <w:t>Implementation Plan</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color="auto" w:fill="003C71"/>
          </w:tcPr>
          <w:p>
            <w:pPr>
              <w:spacing w:after="20" w:before="20"/>
            </w:pPr>
            <w:r>
              <w:rPr>
                <w:b/>
                <w:i w:val="0"/>
                <w:color w:val="FFFFFF"/>
                <w:sz w:val="19"/>
              </w:rPr>
              <w:t>Phase</w:t>
            </w:r>
          </w:p>
        </w:tc>
        <w:tc>
          <w:tcPr>
            <w:tcW w:type="dxa" w:w="5328"/>
            <w:shd w:val="clear" w:color="auto" w:fill="003C71"/>
          </w:tcPr>
          <w:p>
            <w:pPr>
              <w:spacing w:after="20" w:before="20"/>
            </w:pPr>
            <w:r>
              <w:rPr>
                <w:b/>
                <w:i w:val="0"/>
                <w:color w:val="FFFFFF"/>
                <w:sz w:val="19"/>
              </w:rPr>
              <w:t>Key activities</w:t>
            </w:r>
          </w:p>
        </w:tc>
        <w:tc>
          <w:tcPr>
            <w:tcW w:type="dxa" w:w="1584"/>
            <w:shd w:val="clear" w:color="auto" w:fill="003C71"/>
          </w:tcPr>
          <w:p>
            <w:pPr>
              <w:spacing w:after="20" w:before="20"/>
            </w:pPr>
            <w:r>
              <w:rPr>
                <w:b/>
                <w:i w:val="0"/>
                <w:color w:val="FFFFFF"/>
                <w:sz w:val="19"/>
              </w:rPr>
              <w:t>Duration (est.)</w:t>
            </w:r>
          </w:p>
        </w:tc>
      </w:tr>
      <w:tr>
        <w:tc>
          <w:tcPr>
            <w:tcW w:type="dxa" w:w="2448"/>
          </w:tcPr>
          <w:p>
            <w:pPr>
              <w:spacing w:after="20" w:before="20"/>
            </w:pPr>
            <w:r>
              <w:rPr>
                <w:b w:val="0"/>
                <w:i w:val="0"/>
                <w:color w:val="1F2933"/>
                <w:sz w:val="19"/>
              </w:rPr>
              <w:t>1. Discovery and baseline</w:t>
            </w:r>
          </w:p>
        </w:tc>
        <w:tc>
          <w:tcPr>
            <w:tcW w:type="dxa" w:w="5328"/>
          </w:tcPr>
          <w:p>
            <w:pPr>
              <w:spacing w:after="20" w:before="20"/>
            </w:pPr>
            <w:r>
              <w:rPr>
                <w:b w:val="0"/>
                <w:i w:val="0"/>
                <w:color w:val="1F2933"/>
                <w:sz w:val="19"/>
              </w:rPr>
              <w:t>Confirm logic, sample workbooks, baseline current effort, finalize requirements</w:t>
            </w:r>
          </w:p>
        </w:tc>
        <w:tc>
          <w:tcPr>
            <w:tcW w:type="dxa" w:w="1584"/>
          </w:tcPr>
          <w:p>
            <w:pPr>
              <w:spacing w:after="20" w:before="20"/>
            </w:pPr>
            <w:r>
              <w:rPr>
                <w:b w:val="0"/>
                <w:i w:val="0"/>
                <w:color w:val="1F2933"/>
                <w:sz w:val="19"/>
              </w:rPr>
              <w:t>2 to 3 wks</w:t>
            </w:r>
          </w:p>
        </w:tc>
      </w:tr>
      <w:tr>
        <w:tc>
          <w:tcPr>
            <w:tcW w:type="dxa" w:w="2448"/>
            <w:shd w:val="clear" w:color="auto" w:fill="F5F8FB"/>
          </w:tcPr>
          <w:p>
            <w:pPr>
              <w:spacing w:after="20" w:before="20"/>
            </w:pPr>
            <w:r>
              <w:rPr>
                <w:b w:val="0"/>
                <w:i w:val="0"/>
                <w:color w:val="1F2933"/>
                <w:sz w:val="19"/>
              </w:rPr>
              <w:t>2. Build</w:t>
            </w:r>
          </w:p>
        </w:tc>
        <w:tc>
          <w:tcPr>
            <w:tcW w:type="dxa" w:w="5328"/>
            <w:shd w:val="clear" w:color="auto" w:fill="F5F8FB"/>
          </w:tcPr>
          <w:p>
            <w:pPr>
              <w:spacing w:after="20" w:before="20"/>
            </w:pPr>
            <w:r>
              <w:rPr>
                <w:b w:val="0"/>
                <w:i w:val="0"/>
                <w:color w:val="1F2933"/>
                <w:sz w:val="19"/>
              </w:rPr>
              <w:t>Ingestion, validation, mapping confirmation, calculations, forecasting, aging, summaries</w:t>
            </w:r>
          </w:p>
        </w:tc>
        <w:tc>
          <w:tcPr>
            <w:tcW w:type="dxa" w:w="1584"/>
            <w:shd w:val="clear" w:color="auto" w:fill="F5F8FB"/>
          </w:tcPr>
          <w:p>
            <w:pPr>
              <w:spacing w:after="20" w:before="20"/>
            </w:pPr>
            <w:r>
              <w:rPr>
                <w:b w:val="0"/>
                <w:i w:val="0"/>
                <w:color w:val="1F2933"/>
                <w:sz w:val="19"/>
              </w:rPr>
              <w:t>4 to 6 wks</w:t>
            </w:r>
          </w:p>
        </w:tc>
      </w:tr>
      <w:tr>
        <w:tc>
          <w:tcPr>
            <w:tcW w:type="dxa" w:w="2448"/>
          </w:tcPr>
          <w:p>
            <w:pPr>
              <w:spacing w:after="20" w:before="20"/>
            </w:pPr>
            <w:r>
              <w:rPr>
                <w:b w:val="0"/>
                <w:i w:val="0"/>
                <w:color w:val="1F2933"/>
                <w:sz w:val="19"/>
              </w:rPr>
              <w:t>3. Dashboard and commentary</w:t>
            </w:r>
          </w:p>
        </w:tc>
        <w:tc>
          <w:tcPr>
            <w:tcW w:type="dxa" w:w="5328"/>
          </w:tcPr>
          <w:p>
            <w:pPr>
              <w:spacing w:after="20" w:before="20"/>
            </w:pPr>
            <w:r>
              <w:rPr>
                <w:b w:val="0"/>
                <w:i w:val="0"/>
                <w:color w:val="1F2933"/>
                <w:sz w:val="19"/>
              </w:rPr>
              <w:t>Executive dashboard, KPI cards, data-supported narrative, audit-evidence handling</w:t>
            </w:r>
          </w:p>
        </w:tc>
        <w:tc>
          <w:tcPr>
            <w:tcW w:type="dxa" w:w="1584"/>
          </w:tcPr>
          <w:p>
            <w:pPr>
              <w:spacing w:after="20" w:before="20"/>
            </w:pPr>
            <w:r>
              <w:rPr>
                <w:b w:val="0"/>
                <w:i w:val="0"/>
                <w:color w:val="1F2933"/>
                <w:sz w:val="19"/>
              </w:rPr>
              <w:t>2 wks</w:t>
            </w:r>
          </w:p>
        </w:tc>
      </w:tr>
      <w:tr>
        <w:tc>
          <w:tcPr>
            <w:tcW w:type="dxa" w:w="2448"/>
            <w:shd w:val="clear" w:color="auto" w:fill="F5F8FB"/>
          </w:tcPr>
          <w:p>
            <w:pPr>
              <w:spacing w:after="20" w:before="20"/>
            </w:pPr>
            <w:r>
              <w:rPr>
                <w:b w:val="0"/>
                <w:i w:val="0"/>
                <w:color w:val="1F2933"/>
                <w:sz w:val="19"/>
              </w:rPr>
              <w:t>4. UAT and parallel run</w:t>
            </w:r>
          </w:p>
        </w:tc>
        <w:tc>
          <w:tcPr>
            <w:tcW w:type="dxa" w:w="5328"/>
            <w:shd w:val="clear" w:color="auto" w:fill="F5F8FB"/>
          </w:tcPr>
          <w:p>
            <w:pPr>
              <w:spacing w:after="20" w:before="20"/>
            </w:pPr>
            <w:r>
              <w:rPr>
                <w:b w:val="0"/>
                <w:i w:val="0"/>
                <w:color w:val="1F2933"/>
                <w:sz w:val="19"/>
              </w:rPr>
              <w:t>Validate output vs manual for 1 to 2 close cycles; Accounting sign-off</w:t>
            </w:r>
          </w:p>
        </w:tc>
        <w:tc>
          <w:tcPr>
            <w:tcW w:type="dxa" w:w="1584"/>
            <w:shd w:val="clear" w:color="auto" w:fill="F5F8FB"/>
          </w:tcPr>
          <w:p>
            <w:pPr>
              <w:spacing w:after="20" w:before="20"/>
            </w:pPr>
            <w:r>
              <w:rPr>
                <w:b w:val="0"/>
                <w:i w:val="0"/>
                <w:color w:val="1F2933"/>
                <w:sz w:val="19"/>
              </w:rPr>
              <w:t>2 to 4 wks</w:t>
            </w:r>
          </w:p>
        </w:tc>
      </w:tr>
      <w:tr>
        <w:tc>
          <w:tcPr>
            <w:tcW w:type="dxa" w:w="2448"/>
          </w:tcPr>
          <w:p>
            <w:pPr>
              <w:spacing w:after="20" w:before="20"/>
            </w:pPr>
            <w:r>
              <w:rPr>
                <w:b w:val="0"/>
                <w:i w:val="0"/>
                <w:color w:val="1F2933"/>
                <w:sz w:val="19"/>
              </w:rPr>
              <w:t>5. Go-live and handover</w:t>
            </w:r>
          </w:p>
        </w:tc>
        <w:tc>
          <w:tcPr>
            <w:tcW w:type="dxa" w:w="5328"/>
          </w:tcPr>
          <w:p>
            <w:pPr>
              <w:spacing w:after="20" w:before="20"/>
            </w:pPr>
            <w:r>
              <w:rPr>
                <w:b w:val="0"/>
                <w:i w:val="0"/>
                <w:color w:val="1F2933"/>
                <w:sz w:val="19"/>
              </w:rPr>
              <w:t>Documentation, training, transition to standard monthly use</w:t>
            </w:r>
          </w:p>
        </w:tc>
        <w:tc>
          <w:tcPr>
            <w:tcW w:type="dxa" w:w="1584"/>
          </w:tcPr>
          <w:p>
            <w:pPr>
              <w:spacing w:after="20" w:before="20"/>
            </w:pPr>
            <w:r>
              <w:rPr>
                <w:b w:val="0"/>
                <w:i w:val="0"/>
                <w:color w:val="1F2933"/>
                <w:sz w:val="19"/>
              </w:rPr>
              <w:t>1 wk</w:t>
            </w:r>
          </w:p>
        </w:tc>
      </w:tr>
    </w:tbl>
    <w:p>
      <w:pPr>
        <w:spacing w:after="120" w:before="0"/>
      </w:pPr>
    </w:p>
    <w:p>
      <w:pPr>
        <w:spacing w:after="60"/>
      </w:pPr>
      <w:r>
        <w:rPr>
          <w:b w:val="0"/>
          <w:i w:val="0"/>
          <w:color w:val="1F2933"/>
          <w:sz w:val="21"/>
        </w:rPr>
        <w:t>Indicative total: about 3 to 4 months, dependent on sample-data and reviewer availability.</w:t>
      </w:r>
    </w:p>
    <w:p>
      <w:pPr>
        <w:spacing w:before="280" w:after="40"/>
        <w:pBdr>
          <w:bottom w:val="single" w:sz="6" w:space="2" w:color="00A9CE"/>
        </w:pBdr>
      </w:pPr>
      <w:r>
        <w:rPr>
          <w:b/>
          <w:i w:val="0"/>
          <w:color w:val="00A9CE"/>
          <w:sz w:val="28"/>
        </w:rPr>
        <w:t xml:space="preserve">10  </w:t>
      </w:r>
      <w:r>
        <w:rPr>
          <w:b/>
          <w:i w:val="0"/>
          <w:color w:val="00539B"/>
          <w:sz w:val="28"/>
        </w:rPr>
        <w:t>Resource and Organizational Impact</w:t>
      </w:r>
    </w:p>
    <w:p>
      <w:pPr>
        <w:pStyle w:val="ListBullet"/>
        <w:spacing w:after="60"/>
      </w:pPr>
      <w:r>
        <w:rPr>
          <w:b w:val="0"/>
          <w:i w:val="0"/>
          <w:color w:val="1F2933"/>
          <w:sz w:val="21"/>
        </w:rPr>
        <w:t>People: process owner (Stephen) for requirements and UAT; a developer/automation resource for the build; Accounting for sign-off; light Finance-leadership input on the dashboard.</w:t>
      </w:r>
    </w:p>
    <w:p>
      <w:pPr>
        <w:pStyle w:val="ListBullet"/>
        <w:spacing w:after="60"/>
      </w:pPr>
      <w:r>
        <w:rPr>
          <w:b w:val="0"/>
          <w:i w:val="0"/>
          <w:color w:val="1F2933"/>
          <w:sz w:val="21"/>
        </w:rPr>
        <w:t>Process change: monthly routine shifts from manual assembly to upload, confirm mapping, review validation, then book. Analyst time is redirected from spreadsheet maintenance to review and analysis.</w:t>
      </w:r>
    </w:p>
    <w:p>
      <w:pPr>
        <w:pStyle w:val="ListBullet"/>
        <w:spacing w:after="60"/>
      </w:pPr>
      <w:r>
        <w:rPr>
          <w:b w:val="0"/>
          <w:i w:val="0"/>
          <w:color w:val="1F2933"/>
          <w:sz w:val="21"/>
        </w:rPr>
        <w:t>Skills: minimal new skills for end users; short training on the new workflow and validation report.</w:t>
      </w:r>
    </w:p>
    <w:p>
      <w:pPr>
        <w:spacing w:before="280" w:after="40"/>
        <w:pBdr>
          <w:bottom w:val="single" w:sz="6" w:space="2" w:color="00A9CE"/>
        </w:pBdr>
      </w:pPr>
      <w:r>
        <w:rPr>
          <w:b/>
          <w:i w:val="0"/>
          <w:color w:val="00A9CE"/>
          <w:sz w:val="28"/>
        </w:rPr>
        <w:t xml:space="preserve">11  </w:t>
      </w:r>
      <w:r>
        <w:rPr>
          <w:b/>
          <w:i w:val="0"/>
          <w:color w:val="00539B"/>
          <w:sz w:val="28"/>
        </w:rPr>
        <w:t>Dependencies and Constraints</w:t>
      </w:r>
    </w:p>
    <w:p>
      <w:pPr>
        <w:pStyle w:val="ListBullet"/>
        <w:spacing w:after="60"/>
      </w:pPr>
      <w:r>
        <w:rPr>
          <w:b w:val="0"/>
          <w:i w:val="0"/>
          <w:color w:val="1F2933"/>
          <w:sz w:val="21"/>
        </w:rPr>
        <w:t>Timely monthly availability of the two commission workbooks from Commercial Analytics</w:t>
      </w:r>
    </w:p>
    <w:p>
      <w:pPr>
        <w:pStyle w:val="ListBullet"/>
        <w:spacing w:after="60"/>
      </w:pPr>
      <w:r>
        <w:rPr>
          <w:b w:val="0"/>
          <w:i w:val="0"/>
          <w:color w:val="1F2933"/>
          <w:sz w:val="21"/>
        </w:rPr>
        <w:t>Consistent source column structure (or advance notice of changes)</w:t>
      </w:r>
    </w:p>
    <w:p>
      <w:pPr>
        <w:pStyle w:val="ListBullet"/>
        <w:spacing w:after="60"/>
      </w:pPr>
      <w:r>
        <w:rPr>
          <w:b w:val="0"/>
          <w:i w:val="0"/>
          <w:color w:val="1F2933"/>
          <w:sz w:val="21"/>
        </w:rPr>
        <w:t>Reliable determination of Fiscal Period for divisor selection</w:t>
      </w:r>
    </w:p>
    <w:p>
      <w:pPr>
        <w:pStyle w:val="ListBullet"/>
        <w:spacing w:after="60"/>
      </w:pPr>
      <w:r>
        <w:rPr>
          <w:b w:val="0"/>
          <w:i w:val="0"/>
          <w:color w:val="1F2933"/>
          <w:sz w:val="21"/>
        </w:rPr>
        <w:t>Reviewer/UAT availability across 1 to 2 close cycles</w:t>
      </w:r>
    </w:p>
    <w:p>
      <w:pPr>
        <w:pStyle w:val="ListBullet"/>
        <w:spacing w:after="60"/>
      </w:pPr>
      <w:r>
        <w:rPr>
          <w:b w:val="0"/>
          <w:i w:val="0"/>
          <w:color w:val="1F2933"/>
          <w:sz w:val="21"/>
        </w:rPr>
        <w:t>Solution 1 is limited to the two workbooks; GL Supplemental and vendor analysis are Solution 2</w:t>
      </w:r>
    </w:p>
    <w:p>
      <w:pPr>
        <w:spacing w:before="280" w:after="40"/>
        <w:pBdr>
          <w:bottom w:val="single" w:sz="6" w:space="2" w:color="00A9CE"/>
        </w:pBdr>
      </w:pPr>
      <w:r>
        <w:rPr>
          <w:b/>
          <w:i w:val="0"/>
          <w:color w:val="00A9CE"/>
          <w:sz w:val="28"/>
        </w:rPr>
        <w:t xml:space="preserve">12  </w:t>
      </w:r>
      <w:r>
        <w:rPr>
          <w:b/>
          <w:i w:val="0"/>
          <w:color w:val="00539B"/>
          <w:sz w:val="28"/>
        </w:rPr>
        <w:t>Success Metrics / KPIs</w:t>
      </w:r>
    </w:p>
    <w:tbl>
      <w:tblPr>
        <w:tblStyle w:val="TableGrid"/>
        <w:tblW w:type="auto" w:w="0"/>
        <w:jc w:val="center"/>
        <w:tblLook w:firstColumn="1" w:firstRow="1" w:lastColumn="0" w:lastRow="0" w:noHBand="0" w:noVBand="1" w:val="04A0"/>
      </w:tblPr>
      <w:tblGrid>
        <w:gridCol w:w="2880"/>
        <w:gridCol w:w="2880"/>
        <w:gridCol w:w="2880"/>
      </w:tblGrid>
      <w:tr>
        <w:tc>
          <w:tcPr>
            <w:tcW w:type="dxa" w:w="3456"/>
            <w:shd w:val="clear" w:color="auto" w:fill="003C71"/>
          </w:tcPr>
          <w:p>
            <w:pPr>
              <w:spacing w:after="20" w:before="20"/>
            </w:pPr>
            <w:r>
              <w:rPr>
                <w:b/>
                <w:i w:val="0"/>
                <w:color w:val="FFFFFF"/>
                <w:sz w:val="19"/>
              </w:rPr>
              <w:t>KPI</w:t>
            </w:r>
          </w:p>
        </w:tc>
        <w:tc>
          <w:tcPr>
            <w:tcW w:type="dxa" w:w="2880"/>
            <w:shd w:val="clear" w:color="auto" w:fill="003C71"/>
          </w:tcPr>
          <w:p>
            <w:pPr>
              <w:spacing w:after="20" w:before="20"/>
            </w:pPr>
            <w:r>
              <w:rPr>
                <w:b/>
                <w:i w:val="0"/>
                <w:color w:val="FFFFFF"/>
                <w:sz w:val="19"/>
              </w:rPr>
              <w:t>Target</w:t>
            </w:r>
          </w:p>
        </w:tc>
        <w:tc>
          <w:tcPr>
            <w:tcW w:type="dxa" w:w="3024"/>
            <w:shd w:val="clear" w:color="auto" w:fill="003C71"/>
          </w:tcPr>
          <w:p>
            <w:pPr>
              <w:spacing w:after="20" w:before="20"/>
            </w:pPr>
            <w:r>
              <w:rPr>
                <w:b/>
                <w:i w:val="0"/>
                <w:color w:val="FFFFFF"/>
                <w:sz w:val="19"/>
              </w:rPr>
              <w:t>Measurement</w:t>
            </w:r>
          </w:p>
        </w:tc>
      </w:tr>
      <w:tr>
        <w:tc>
          <w:tcPr>
            <w:tcW w:type="dxa" w:w="3456"/>
          </w:tcPr>
          <w:p>
            <w:pPr>
              <w:spacing w:after="20" w:before="20"/>
            </w:pPr>
            <w:r>
              <w:rPr>
                <w:b w:val="0"/>
                <w:i w:val="0"/>
                <w:color w:val="1F2933"/>
                <w:sz w:val="19"/>
              </w:rPr>
              <w:t>Manual copy/paste and pivot steps eliminated</w:t>
            </w:r>
          </w:p>
        </w:tc>
        <w:tc>
          <w:tcPr>
            <w:tcW w:type="dxa" w:w="2880"/>
          </w:tcPr>
          <w:p>
            <w:pPr>
              <w:spacing w:after="20" w:before="20"/>
            </w:pPr>
            <w:r>
              <w:rPr>
                <w:b w:val="0"/>
                <w:i w:val="0"/>
                <w:color w:val="1F2933"/>
                <w:sz w:val="19"/>
              </w:rPr>
              <w:t>100%</w:t>
            </w:r>
          </w:p>
        </w:tc>
        <w:tc>
          <w:tcPr>
            <w:tcW w:type="dxa" w:w="3024"/>
          </w:tcPr>
          <w:p>
            <w:pPr>
              <w:spacing w:after="20" w:before="20"/>
            </w:pPr>
            <w:r>
              <w:rPr>
                <w:b w:val="0"/>
                <w:i w:val="0"/>
                <w:color w:val="1F2933"/>
                <w:sz w:val="19"/>
              </w:rPr>
              <w:t>Process walkthrough vs current steps</w:t>
            </w:r>
          </w:p>
        </w:tc>
      </w:tr>
      <w:tr>
        <w:tc>
          <w:tcPr>
            <w:tcW w:type="dxa" w:w="3456"/>
            <w:shd w:val="clear" w:color="auto" w:fill="F5F8FB"/>
          </w:tcPr>
          <w:p>
            <w:pPr>
              <w:spacing w:after="20" w:before="20"/>
            </w:pPr>
            <w:r>
              <w:rPr>
                <w:b w:val="0"/>
                <w:i w:val="0"/>
                <w:color w:val="1F2933"/>
                <w:sz w:val="19"/>
              </w:rPr>
              <w:t>Analyst time per close</w:t>
            </w:r>
          </w:p>
        </w:tc>
        <w:tc>
          <w:tcPr>
            <w:tcW w:type="dxa" w:w="2880"/>
            <w:shd w:val="clear" w:color="auto" w:fill="F5F8FB"/>
          </w:tcPr>
          <w:p>
            <w:pPr>
              <w:spacing w:after="20" w:before="20"/>
            </w:pPr>
            <w:r>
              <w:rPr>
                <w:b w:val="0"/>
                <w:i w:val="0"/>
                <w:color w:val="1F2933"/>
                <w:sz w:val="19"/>
              </w:rPr>
              <w:t>Down about 85% (3 to 4 days to under half a day)</w:t>
            </w:r>
          </w:p>
        </w:tc>
        <w:tc>
          <w:tcPr>
            <w:tcW w:type="dxa" w:w="3024"/>
            <w:shd w:val="clear" w:color="auto" w:fill="F5F8FB"/>
          </w:tcPr>
          <w:p>
            <w:pPr>
              <w:spacing w:after="20" w:before="20"/>
            </w:pPr>
            <w:r>
              <w:rPr>
                <w:b w:val="0"/>
                <w:i w:val="0"/>
                <w:color w:val="1F2933"/>
                <w:sz w:val="19"/>
              </w:rPr>
              <w:t>Timed baseline vs post-launch</w:t>
            </w:r>
          </w:p>
        </w:tc>
      </w:tr>
      <w:tr>
        <w:tc>
          <w:tcPr>
            <w:tcW w:type="dxa" w:w="3456"/>
          </w:tcPr>
          <w:p>
            <w:pPr>
              <w:spacing w:after="20" w:before="20"/>
            </w:pPr>
            <w:r>
              <w:rPr>
                <w:b w:val="0"/>
                <w:i w:val="0"/>
                <w:color w:val="1F2933"/>
                <w:sz w:val="19"/>
              </w:rPr>
              <w:t>Accrual booking-ready output</w:t>
            </w:r>
          </w:p>
        </w:tc>
        <w:tc>
          <w:tcPr>
            <w:tcW w:type="dxa" w:w="2880"/>
          </w:tcPr>
          <w:p>
            <w:pPr>
              <w:spacing w:after="20" w:before="20"/>
            </w:pPr>
            <w:r>
              <w:rPr>
                <w:b w:val="0"/>
                <w:i w:val="0"/>
                <w:color w:val="1F2933"/>
                <w:sz w:val="19"/>
              </w:rPr>
              <w:t>Used directly by Accounting</w:t>
            </w:r>
          </w:p>
        </w:tc>
        <w:tc>
          <w:tcPr>
            <w:tcW w:type="dxa" w:w="3024"/>
          </w:tcPr>
          <w:p>
            <w:pPr>
              <w:spacing w:after="20" w:before="20"/>
            </w:pPr>
            <w:r>
              <w:rPr>
                <w:b w:val="0"/>
                <w:i w:val="0"/>
                <w:color w:val="1F2933"/>
                <w:sz w:val="19"/>
              </w:rPr>
              <w:t>Accounting sign-off; no rework</w:t>
            </w:r>
          </w:p>
        </w:tc>
      </w:tr>
      <w:tr>
        <w:tc>
          <w:tcPr>
            <w:tcW w:type="dxa" w:w="3456"/>
            <w:shd w:val="clear" w:color="auto" w:fill="F5F8FB"/>
          </w:tcPr>
          <w:p>
            <w:pPr>
              <w:spacing w:after="20" w:before="20"/>
            </w:pPr>
            <w:r>
              <w:rPr>
                <w:b w:val="0"/>
                <w:i w:val="0"/>
                <w:color w:val="1F2933"/>
                <w:sz w:val="19"/>
              </w:rPr>
              <w:t>Forecast correctness</w:t>
            </w:r>
          </w:p>
        </w:tc>
        <w:tc>
          <w:tcPr>
            <w:tcW w:type="dxa" w:w="2880"/>
            <w:shd w:val="clear" w:color="auto" w:fill="F5F8FB"/>
          </w:tcPr>
          <w:p>
            <w:pPr>
              <w:spacing w:after="20" w:before="20"/>
            </w:pPr>
            <w:r>
              <w:rPr>
                <w:b w:val="0"/>
                <w:i w:val="0"/>
                <w:color w:val="1F2933"/>
                <w:sz w:val="19"/>
              </w:rPr>
              <w:t>Divisor auto-applied correctly every close</w:t>
            </w:r>
          </w:p>
        </w:tc>
        <w:tc>
          <w:tcPr>
            <w:tcW w:type="dxa" w:w="3024"/>
            <w:shd w:val="clear" w:color="auto" w:fill="F5F8FB"/>
          </w:tcPr>
          <w:p>
            <w:pPr>
              <w:spacing w:after="20" w:before="20"/>
            </w:pPr>
            <w:r>
              <w:rPr>
                <w:b w:val="0"/>
                <w:i w:val="0"/>
                <w:color w:val="1F2933"/>
                <w:sz w:val="19"/>
              </w:rPr>
              <w:t>Config/validation report review</w:t>
            </w:r>
          </w:p>
        </w:tc>
      </w:tr>
      <w:tr>
        <w:tc>
          <w:tcPr>
            <w:tcW w:type="dxa" w:w="3456"/>
          </w:tcPr>
          <w:p>
            <w:pPr>
              <w:spacing w:after="20" w:before="20"/>
            </w:pPr>
            <w:r>
              <w:rPr>
                <w:b w:val="0"/>
                <w:i w:val="0"/>
                <w:color w:val="1F2933"/>
                <w:sz w:val="19"/>
              </w:rPr>
              <w:t>Manual accrual errors / corrections</w:t>
            </w:r>
          </w:p>
        </w:tc>
        <w:tc>
          <w:tcPr>
            <w:tcW w:type="dxa" w:w="2880"/>
          </w:tcPr>
          <w:p>
            <w:pPr>
              <w:spacing w:after="20" w:before="20"/>
            </w:pPr>
            <w:r>
              <w:rPr>
                <w:b w:val="0"/>
                <w:i w:val="0"/>
                <w:color w:val="1F2933"/>
                <w:sz w:val="19"/>
              </w:rPr>
              <w:t>Down toward zero</w:t>
            </w:r>
          </w:p>
        </w:tc>
        <w:tc>
          <w:tcPr>
            <w:tcW w:type="dxa" w:w="3024"/>
          </w:tcPr>
          <w:p>
            <w:pPr>
              <w:spacing w:after="20" w:before="20"/>
            </w:pPr>
            <w:r>
              <w:rPr>
                <w:b w:val="0"/>
                <w:i w:val="0"/>
                <w:color w:val="1F2933"/>
                <w:sz w:val="19"/>
              </w:rPr>
              <w:t>Post-close correction count</w:t>
            </w:r>
          </w:p>
        </w:tc>
      </w:tr>
      <w:tr>
        <w:tc>
          <w:tcPr>
            <w:tcW w:type="dxa" w:w="3456"/>
            <w:shd w:val="clear" w:color="auto" w:fill="F5F8FB"/>
          </w:tcPr>
          <w:p>
            <w:pPr>
              <w:spacing w:after="20" w:before="20"/>
            </w:pPr>
            <w:r>
              <w:rPr>
                <w:b w:val="0"/>
                <w:i w:val="0"/>
                <w:color w:val="1F2933"/>
                <w:sz w:val="19"/>
              </w:rPr>
              <w:t>Audit evidence completeness</w:t>
            </w:r>
          </w:p>
        </w:tc>
        <w:tc>
          <w:tcPr>
            <w:tcW w:type="dxa" w:w="2880"/>
            <w:shd w:val="clear" w:color="auto" w:fill="F5F8FB"/>
          </w:tcPr>
          <w:p>
            <w:pPr>
              <w:spacing w:after="20" w:before="20"/>
            </w:pPr>
            <w:r>
              <w:rPr>
                <w:b w:val="0"/>
                <w:i w:val="0"/>
                <w:color w:val="1F2933"/>
                <w:sz w:val="19"/>
              </w:rPr>
              <w:t>Screenshots preserved every close</w:t>
            </w:r>
          </w:p>
        </w:tc>
        <w:tc>
          <w:tcPr>
            <w:tcW w:type="dxa" w:w="3024"/>
            <w:shd w:val="clear" w:color="auto" w:fill="F5F8FB"/>
          </w:tcPr>
          <w:p>
            <w:pPr>
              <w:spacing w:after="20" w:before="20"/>
            </w:pPr>
            <w:r>
              <w:rPr>
                <w:b w:val="0"/>
                <w:i w:val="0"/>
                <w:color w:val="1F2933"/>
                <w:sz w:val="19"/>
              </w:rPr>
              <w:t>Validation report screenshot flag is Yes</w:t>
            </w:r>
          </w:p>
        </w:tc>
      </w:tr>
      <w:tr>
        <w:tc>
          <w:tcPr>
            <w:tcW w:type="dxa" w:w="3456"/>
          </w:tcPr>
          <w:p>
            <w:pPr>
              <w:spacing w:after="20" w:before="20"/>
            </w:pPr>
            <w:r>
              <w:rPr>
                <w:b w:val="0"/>
                <w:i w:val="0"/>
                <w:color w:val="1F2933"/>
                <w:sz w:val="19"/>
              </w:rPr>
              <w:t>Executive dashboard delivered</w:t>
            </w:r>
          </w:p>
        </w:tc>
        <w:tc>
          <w:tcPr>
            <w:tcW w:type="dxa" w:w="2880"/>
          </w:tcPr>
          <w:p>
            <w:pPr>
              <w:spacing w:after="20" w:before="20"/>
            </w:pPr>
            <w:r>
              <w:rPr>
                <w:b w:val="0"/>
                <w:i w:val="0"/>
                <w:color w:val="1F2933"/>
                <w:sz w:val="19"/>
              </w:rPr>
              <w:t>Every close</w:t>
            </w:r>
          </w:p>
        </w:tc>
        <w:tc>
          <w:tcPr>
            <w:tcW w:type="dxa" w:w="3024"/>
          </w:tcPr>
          <w:p>
            <w:pPr>
              <w:spacing w:after="20" w:before="20"/>
            </w:pPr>
            <w:r>
              <w:rPr>
                <w:b w:val="0"/>
                <w:i w:val="0"/>
                <w:color w:val="1F2933"/>
                <w:sz w:val="19"/>
              </w:rPr>
              <w:t>Dashboard produced and reviewed by leadership</w:t>
            </w:r>
          </w:p>
        </w:tc>
      </w:tr>
    </w:tbl>
    <w:p>
      <w:pPr>
        <w:spacing w:after="120" w:before="0"/>
      </w:pPr>
    </w:p>
    <w:p>
      <w:pPr>
        <w:spacing w:before="280" w:after="40"/>
        <w:pBdr>
          <w:bottom w:val="single" w:sz="6" w:space="2" w:color="00A9CE"/>
        </w:pBdr>
      </w:pPr>
      <w:r>
        <w:rPr>
          <w:b/>
          <w:i w:val="0"/>
          <w:color w:val="00A9CE"/>
          <w:sz w:val="28"/>
        </w:rPr>
        <w:t xml:space="preserve">13  </w:t>
      </w:r>
      <w:r>
        <w:rPr>
          <w:b/>
          <w:i w:val="0"/>
          <w:color w:val="00539B"/>
          <w:sz w:val="28"/>
        </w:rPr>
        <w:t>Recommendation and Next Steps</w:t>
      </w:r>
    </w:p>
    <w:p>
      <w:pPr>
        <w:spacing w:after="60"/>
      </w:pPr>
      <w:r>
        <w:rPr>
          <w:b/>
          <w:i w:val="0"/>
          <w:color w:val="003C71"/>
          <w:sz w:val="21"/>
        </w:rPr>
        <w:t xml:space="preserve">Recommendation: </w:t>
      </w:r>
      <w:r>
        <w:rPr>
          <w:b w:val="0"/>
          <w:i w:val="0"/>
          <w:color w:val="1F2933"/>
          <w:sz w:val="21"/>
        </w:rPr>
        <w:t>Go with Option C and build the Commission Accrual Automation (Solution 1). It clears up the parts of the current process that break, gives Accounting output they can book and an audit trail they can stand behind, and puts a real month-end view in front of leadership. The estimated return is strong, and the risk and audit gains are worth as much as the dollars.</w:t>
      </w:r>
    </w:p>
    <w:p>
      <w:pPr>
        <w:pStyle w:val="ListNumber"/>
        <w:spacing w:after="40"/>
      </w:pPr>
      <w:r>
        <w:rPr>
          <w:b w:val="0"/>
          <w:i w:val="0"/>
          <w:color w:val="1F2933"/>
          <w:sz w:val="21"/>
        </w:rPr>
        <w:t>Confirm the financial inputs and replace the estimates (implementation quote, loaded analyst rate, measured effort, discount rate).</w:t>
      </w:r>
    </w:p>
    <w:p>
      <w:pPr>
        <w:pStyle w:val="ListNumber"/>
        <w:spacing w:after="40"/>
      </w:pPr>
      <w:r>
        <w:rPr>
          <w:b w:val="0"/>
          <w:i w:val="0"/>
          <w:color w:val="1F2933"/>
          <w:sz w:val="21"/>
        </w:rPr>
        <w:t>Secure sponsor approval and funding for the estimated $45K one-time investment.</w:t>
      </w:r>
    </w:p>
    <w:p>
      <w:pPr>
        <w:pStyle w:val="ListNumber"/>
        <w:spacing w:after="40"/>
      </w:pPr>
      <w:r>
        <w:rPr>
          <w:b w:val="0"/>
          <w:i w:val="0"/>
          <w:color w:val="1F2933"/>
          <w:sz w:val="21"/>
        </w:rPr>
        <w:t>Baseline current monthly effort before build begins (needed to prove savings).</w:t>
      </w:r>
    </w:p>
    <w:p>
      <w:pPr>
        <w:pStyle w:val="ListNumber"/>
        <w:spacing w:after="40"/>
      </w:pPr>
      <w:r>
        <w:rPr>
          <w:b w:val="0"/>
          <w:i w:val="0"/>
          <w:color w:val="1F2933"/>
          <w:sz w:val="21"/>
        </w:rPr>
        <w:t>Kick off Phase 1 (Discovery) with sample workbooks and the process owner.</w:t>
      </w:r>
    </w:p>
    <w:p>
      <w:pPr>
        <w:spacing w:before="280" w:after="40"/>
        <w:pBdr>
          <w:bottom w:val="single" w:sz="6" w:space="2" w:color="00A9CE"/>
        </w:pBdr>
      </w:pPr>
      <w:r>
        <w:rPr>
          <w:b/>
          <w:i w:val="0"/>
          <w:color w:val="00A9CE"/>
          <w:sz w:val="28"/>
        </w:rPr>
        <w:t xml:space="preserve">14  </w:t>
      </w:r>
      <w:r>
        <w:rPr>
          <w:b/>
          <w:i w:val="0"/>
          <w:color w:val="00539B"/>
          <w:sz w:val="28"/>
        </w:rPr>
        <w:t>Assumptions and Open Questions</w:t>
      </w:r>
    </w:p>
    <w:p>
      <w:pPr>
        <w:spacing w:before="160" w:after="20"/>
      </w:pPr>
      <w:r>
        <w:rPr>
          <w:b/>
          <w:i w:val="0"/>
          <w:color w:val="003C71"/>
          <w:sz w:val="22"/>
        </w:rPr>
        <w:t>Assumptions made (to validate)</w:t>
      </w:r>
    </w:p>
    <w:p>
      <w:pPr>
        <w:pStyle w:val="ListBullet"/>
        <w:spacing w:after="60"/>
      </w:pPr>
      <w:r>
        <w:rPr>
          <w:b w:val="0"/>
          <w:i w:val="0"/>
          <w:color w:val="1F2933"/>
          <w:sz w:val="21"/>
        </w:rPr>
        <w:t>Current effort is about 3 to 4 senior-analyst days (about 28 hrs) per month, with about 85% reduction after automation.</w:t>
      </w:r>
    </w:p>
    <w:p>
      <w:pPr>
        <w:pStyle w:val="ListBullet"/>
        <w:spacing w:after="60"/>
      </w:pPr>
      <w:r>
        <w:rPr>
          <w:b w:val="0"/>
          <w:i w:val="0"/>
          <w:color w:val="1F2933"/>
          <w:sz w:val="21"/>
        </w:rPr>
        <w:t>Fully-loaded analyst rate is about $65/hour.</w:t>
      </w:r>
    </w:p>
    <w:p>
      <w:pPr>
        <w:pStyle w:val="ListBullet"/>
        <w:spacing w:after="60"/>
      </w:pPr>
      <w:r>
        <w:rPr>
          <w:b w:val="0"/>
          <w:i w:val="0"/>
          <w:color w:val="1F2933"/>
          <w:sz w:val="21"/>
        </w:rPr>
        <w:t>One-time implementation is about $45,000; recurring is about $4,000/year.</w:t>
      </w:r>
    </w:p>
    <w:p>
      <w:pPr>
        <w:pStyle w:val="ListBullet"/>
        <w:spacing w:after="60"/>
      </w:pPr>
      <w:r>
        <w:rPr>
          <w:b w:val="0"/>
          <w:i w:val="0"/>
          <w:color w:val="1F2933"/>
          <w:sz w:val="21"/>
        </w:rPr>
        <w:t>Error/rework reduction is about $8,000/year.</w:t>
      </w:r>
    </w:p>
    <w:p>
      <w:pPr>
        <w:pStyle w:val="ListBullet"/>
        <w:spacing w:after="60"/>
      </w:pPr>
      <w:r>
        <w:rPr>
          <w:b w:val="0"/>
          <w:i w:val="0"/>
          <w:color w:val="1F2933"/>
          <w:sz w:val="21"/>
        </w:rPr>
        <w:t>5-year horizon; 10% discount/hurdle rate; benefits begin in Year 1.</w:t>
      </w:r>
    </w:p>
    <w:p>
      <w:pPr>
        <w:pStyle w:val="ListBullet"/>
        <w:spacing w:after="60"/>
      </w:pPr>
      <w:r>
        <w:rPr>
          <w:b w:val="0"/>
          <w:i w:val="0"/>
          <w:color w:val="1F2933"/>
          <w:sz w:val="21"/>
        </w:rPr>
        <w:t>Solution is internally built or AI-assisted rather than a licensed commercial platform.</w:t>
      </w:r>
    </w:p>
    <w:p>
      <w:pPr>
        <w:spacing w:before="160" w:after="20"/>
      </w:pPr>
      <w:r>
        <w:rPr>
          <w:b/>
          <w:i w:val="0"/>
          <w:color w:val="003C71"/>
          <w:sz w:val="22"/>
        </w:rPr>
        <w:t>Open questions</w:t>
      </w:r>
    </w:p>
    <w:p>
      <w:pPr>
        <w:pStyle w:val="ListBullet"/>
        <w:spacing w:after="60"/>
      </w:pPr>
      <w:r>
        <w:rPr>
          <w:b w:val="0"/>
          <w:i w:val="0"/>
          <w:color w:val="1F2933"/>
          <w:sz w:val="21"/>
        </w:rPr>
        <w:t>Actual implementation cost, internal build vs vendor quote?</w:t>
      </w:r>
    </w:p>
    <w:p>
      <w:pPr>
        <w:pStyle w:val="ListBullet"/>
        <w:spacing w:after="60"/>
      </w:pPr>
      <w:r>
        <w:rPr>
          <w:b w:val="0"/>
          <w:i w:val="0"/>
          <w:color w:val="1F2933"/>
          <w:sz w:val="21"/>
        </w:rPr>
        <w:t>Confirmed fully-loaded analyst rate and measured monthly hours?</w:t>
      </w:r>
    </w:p>
    <w:p>
      <w:pPr>
        <w:pStyle w:val="ListBullet"/>
        <w:spacing w:after="60"/>
      </w:pPr>
      <w:r>
        <w:rPr>
          <w:b w:val="0"/>
          <w:i w:val="0"/>
          <w:color w:val="1F2933"/>
          <w:sz w:val="21"/>
        </w:rPr>
        <w:t>Finance-approved discount/hurdle rate?</w:t>
      </w:r>
    </w:p>
    <w:p>
      <w:pPr>
        <w:pStyle w:val="ListBullet"/>
        <w:spacing w:after="60"/>
      </w:pPr>
      <w:r>
        <w:rPr>
          <w:b w:val="0"/>
          <w:i w:val="0"/>
          <w:color w:val="1F2933"/>
          <w:sz w:val="21"/>
        </w:rPr>
        <w:t>Who is the executive sponsor, and what strategic priority does this roll up to?</w:t>
      </w:r>
    </w:p>
    <w:p>
      <w:pPr>
        <w:pStyle w:val="ListBullet"/>
        <w:spacing w:after="60"/>
      </w:pPr>
      <w:r>
        <w:rPr>
          <w:b w:val="0"/>
          <w:i w:val="0"/>
          <w:color w:val="1F2933"/>
          <w:sz w:val="21"/>
        </w:rPr>
        <w:t>Target go-live month relative to the close calendar?</w:t>
      </w:r>
    </w:p>
    <w:p>
      <w:pPr>
        <w:pStyle w:val="ListBullet"/>
        <w:spacing w:after="60"/>
      </w:pPr>
      <w:r>
        <w:rPr>
          <w:b w:val="0"/>
          <w:i w:val="0"/>
          <w:color w:val="1F2933"/>
          <w:sz w:val="21"/>
        </w:rPr>
        <w:t>Any control/SOX requirements affecting the audit-evidence approach?</w:t>
      </w:r>
    </w:p>
    <w:p>
      <w:pPr>
        <w:spacing w:before="240"/>
      </w:pPr>
      <w:r>
        <w:rPr>
          <w:b w:val="0"/>
          <w:i/>
          <w:color w:val="52606D"/>
          <w:sz w:val="16"/>
        </w:rPr>
        <w:t>Confidential, internal use. Generated with the reusable Business Case Generator prompt. Financial figures are illustrative estimates pending validated inputs. Hach / Veralto brand palette applied (approximate; replace with official hex codes if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