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60"/>
        <w:rPr/>
      </w:pPr>
      <w:r>
        <w:rPr>
          <w:b/>
          <w:bCs/>
        </w:rPr>
        <w:t>Visual Commonsense Reasoning with Qwen3-VL-4B</w:t>
      </w:r>
    </w:p>
    <w:p>
      <w:pPr>
        <w:pStyle w:val="Normal"/>
        <w:spacing w:before="0" w:after="240"/>
        <w:rPr/>
      </w:pPr>
      <w:r>
        <w:rPr>
          <w:i/>
          <w:iCs/>
          <w:color w:val="595959"/>
        </w:rPr>
        <w:t>LoRA Fine-Tuning Pipeline — AIMS Recruitment Task, Round 2</w:t>
      </w:r>
    </w:p>
    <w:p>
      <w:pPr>
        <w:pStyle w:val="Heading1"/>
        <w:rPr/>
      </w:pPr>
      <w:r>
        <w:rPr/>
        <w:t>1. Overview</w:t>
      </w:r>
    </w:p>
    <w:p>
      <w:pPr>
        <w:pStyle w:val="Normal"/>
        <w:spacing w:before="0" w:after="200"/>
        <w:rPr/>
      </w:pPr>
      <w:r>
        <w:rPr/>
        <w:t>This report documents the design, implementation, and iterative debugging of a parameter-efficient fine-tuning pipeline for Qwen3-VL-4B-Instruct on the Visual Commonsense Reasoning (VCR) task, using the Rowan/vcr dataset. The pipeline covers dataset construction directly from the two linked HuggingFace configs (questions and image_examples), LoRA adaptation of the language decoder, supervised fine-tuning via TRL's SFTTrainer, and full experiment tracking and model publishing through Weights &amp; Biases and the HuggingFace Hub. Development and training were carried out end-to-end on a single T4 GPU (Google Colab), which shaped several of the engineering decisions described below.</w:t>
      </w:r>
    </w:p>
    <w:p>
      <w:pPr>
        <w:pStyle w:val="Heading1"/>
        <w:rPr/>
      </w:pPr>
      <w:r>
        <w:rPr/>
        <w:t>2. Model Architecture</w:t>
      </w:r>
    </w:p>
    <w:p>
      <w:pPr>
        <w:pStyle w:val="Normal"/>
        <w:spacing w:before="0" w:after="120"/>
        <w:rPr/>
      </w:pPr>
      <w:r>
        <w:rPr/>
        <w:t>The base model is Qwen/Qwen3-VL-4B-Instruct, a vision-language model composed of a SigLIP2-based ViT vision encoder, a vision-language merger that projects visual patches into the LLM's embedding space, and a Qwen3 causal-decoder backbone. Fine-tuning was applied selectively rather than globally:</w:t>
      </w:r>
    </w:p>
    <w:tbl>
      <w:tblPr>
        <w:tblW w:w="9360" w:type="dxa"/>
        <w:jc w:val="start"/>
        <w:tblInd w:w="0" w:type="dxa"/>
        <w:tblLayout w:type="fixed"/>
        <w:tblCellMar>
          <w:top w:w="80" w:type="dxa"/>
          <w:start w:w="100" w:type="dxa"/>
          <w:bottom w:w="80" w:type="dxa"/>
          <w:end w:w="100" w:type="dxa"/>
        </w:tblCellMar>
      </w:tblPr>
      <w:tblGrid>
        <w:gridCol w:w="3120"/>
        <w:gridCol w:w="3120"/>
        <w:gridCol w:w="3120"/>
      </w:tblGrid>
      <w:tr>
        <w:trPr>
          <w:tblHeader w:val="true"/>
        </w:trPr>
        <w:tc>
          <w:tcPr>
            <w:tcW w:w="3120"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rPr>
              <w:t>Component</w:t>
            </w:r>
          </w:p>
        </w:tc>
        <w:tc>
          <w:tcPr>
            <w:tcW w:w="3120"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rPr>
              <w:t>Status</w:t>
            </w:r>
          </w:p>
        </w:tc>
        <w:tc>
          <w:tcPr>
            <w:tcW w:w="3120"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rPr>
              <w:t>Rationale</w:t>
            </w:r>
          </w:p>
        </w:tc>
      </w:tr>
      <w:tr>
        <w:trPr/>
        <w:tc>
          <w:tcPr>
            <w:tcW w:w="312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Vision encoder (SigLIP2 ViT)</w:t>
            </w:r>
          </w:p>
        </w:tc>
        <w:tc>
          <w:tcPr>
            <w:tcW w:w="312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Frozen</w:t>
            </w:r>
          </w:p>
        </w:tc>
        <w:tc>
          <w:tcPr>
            <w:tcW w:w="312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Pretrained visual features are already strong; VCR requires reasoning over features, not re-learning perception.</w:t>
            </w:r>
          </w:p>
        </w:tc>
      </w:tr>
      <w:tr>
        <w:trPr/>
        <w:tc>
          <w:tcPr>
            <w:tcW w:w="312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Vision-language merger</w:t>
            </w:r>
          </w:p>
        </w:tc>
        <w:tc>
          <w:tcPr>
            <w:tcW w:w="312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Frozen</w:t>
            </w:r>
          </w:p>
        </w:tc>
        <w:tc>
          <w:tcPr>
            <w:tcW w:w="312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No evidence of misalignment at this data scale; adapting it risks destabilizing image grounding with too little data.</w:t>
            </w:r>
          </w:p>
        </w:tc>
      </w:tr>
      <w:tr>
        <w:trPr/>
        <w:tc>
          <w:tcPr>
            <w:tcW w:w="312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Decoder attention (q/k/v/o proj)</w:t>
            </w:r>
          </w:p>
        </w:tc>
        <w:tc>
          <w:tcPr>
            <w:tcW w:w="312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LoRA-adapted</w:t>
            </w:r>
          </w:p>
        </w:tc>
        <w:tc>
          <w:tcPr>
            <w:tcW w:w="312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Primary lever for changing how the model reasons over visual + text tokens.</w:t>
            </w:r>
          </w:p>
        </w:tc>
      </w:tr>
      <w:tr>
        <w:trPr/>
        <w:tc>
          <w:tcPr>
            <w:tcW w:w="312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Decoder MLP (gate/up/down proj)</w:t>
            </w:r>
          </w:p>
        </w:tc>
        <w:tc>
          <w:tcPr>
            <w:tcW w:w="312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LoRA-adapted</w:t>
            </w:r>
          </w:p>
        </w:tc>
        <w:tc>
          <w:tcPr>
            <w:tcW w:w="312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Captures task-specific reasoning patterns without touching frozen base weights.</w:t>
            </w:r>
          </w:p>
        </w:tc>
      </w:tr>
      <w:tr>
        <w:trPr/>
        <w:tc>
          <w:tcPr>
            <w:tcW w:w="312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Embedding / LM head</w:t>
            </w:r>
          </w:p>
        </w:tc>
        <w:tc>
          <w:tcPr>
            <w:tcW w:w="312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Frozen</w:t>
            </w:r>
          </w:p>
        </w:tc>
        <w:tc>
          <w:tcPr>
            <w:tcW w:w="312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Not required for a fixed 4-way multiple-choice output space (A/B/C/D).</w:t>
            </w:r>
          </w:p>
        </w:tc>
      </w:tr>
    </w:tbl>
    <w:p>
      <w:pPr>
        <w:pStyle w:val="Normal"/>
        <w:spacing w:before="160" w:after="0"/>
        <w:rPr/>
      </w:pPr>
      <w:r>
        <w:rPr/>
        <w:t xml:space="preserve">LoRA configuration: rank r = 8, α = 16, dropout = 0.067 </w:t>
      </w:r>
      <w:r>
        <w:rPr/>
        <w:t>(sixx sevennnn)</w:t>
      </w:r>
      <w:r>
        <w:rPr/>
        <w:t>, applied to all seven targeted linear projections across every decoder layer, training roughly 0.5–1% of total model parameters.</w:t>
      </w:r>
    </w:p>
    <w:p>
      <w:pPr>
        <w:pStyle w:val="Normal"/>
        <w:spacing w:before="160" w:after="0"/>
        <w:rPr/>
      </w:pPr>
      <w:r>
        <w:rPr/>
        <w:t>Frankly, I didn’t dare touch the Vision layers</w:t>
      </w:r>
    </w:p>
    <w:p>
      <w:pPr>
        <w:pStyle w:val="Normal"/>
        <w:spacing w:before="160" w:after="0"/>
        <w:rPr/>
      </w:pPr>
      <w:r>
        <w:rPr/>
      </w:r>
    </w:p>
    <w:p>
      <w:pPr>
        <w:pStyle w:val="Heading1"/>
        <w:rPr/>
      </w:pPr>
      <w:r>
        <w:rPr/>
        <w:t>3. Training Strategy</w:t>
      </w:r>
    </w:p>
    <w:p>
      <w:pPr>
        <w:pStyle w:val="Normal"/>
        <w:spacing w:before="0" w:after="120"/>
        <w:rPr/>
      </w:pPr>
      <w:r>
        <w:rPr/>
        <w:t>Training data was constructed by joining Rowan/vcr's two linked configs — questions (text, answer/rationale choices, labels) and image_examples (images, bounding boxes, object tags) — via the shared img_fn key, since VCR intentionally decouples images from questions to avoid duplicating shared movie frames across many questions. Images were resized to a 768×768 thumbnail bound and annotated with object bounding boxes and index labels to support grounded reasoning, consistent with the VCR task's referring-expression style.</w:t>
      </w:r>
    </w:p>
    <w:p>
      <w:pPr>
        <w:pStyle w:val="Normal"/>
        <w:spacing w:before="0" w:after="120"/>
        <w:rPr/>
      </w:pPr>
      <w:r>
        <w:rPr/>
        <w:t>Given the T4's 16GB memory budget and a hard project deadline, training was run in stages rather than as a single long job:</w:t>
      </w:r>
    </w:p>
    <w:p>
      <w:pPr>
        <w:pStyle w:val="ListParagraph"/>
        <w:numPr>
          <w:ilvl w:val="0"/>
          <w:numId w:val="3"/>
        </w:numPr>
        <w:spacing w:before="0" w:after="80"/>
        <w:rPr/>
      </w:pPr>
      <w:r>
        <w:rPr/>
        <w:t>Stage 1 — Answer-selection only, 200 questions, fp16/QLoRA baseline (later corrected to bf16 to resolve a GradScaler incompatibility with the model's native bf16 weights).</w:t>
      </w:r>
    </w:p>
    <w:p>
      <w:pPr>
        <w:pStyle w:val="ListParagraph"/>
        <w:numPr>
          <w:ilvl w:val="0"/>
          <w:numId w:val="1"/>
        </w:numPr>
        <w:spacing w:before="0" w:after="80"/>
        <w:rPr/>
      </w:pPr>
      <w:r>
        <w:rPr/>
        <w:t>Stage 2 — Rationale-selection introduced as a second training objective, using ground-truth answers to construct rationale prompts, closing a gap where the adapter had only ever seen the answer-selection task.</w:t>
      </w:r>
    </w:p>
    <w:p>
      <w:pPr>
        <w:pStyle w:val="ListParagraph"/>
        <w:numPr>
          <w:ilvl w:val="0"/>
          <w:numId w:val="1"/>
        </w:numPr>
        <w:spacing w:before="0" w:after="80"/>
        <w:rPr/>
      </w:pPr>
      <w:r>
        <w:rPr/>
        <w:t>Stage 3 — Additional non-overlapping data (train[200:275]) with interleaved answer + rationale examples, continuing on the same LoRA adapter to accumulate learning across runs.</w:t>
      </w:r>
    </w:p>
    <w:p>
      <w:pPr>
        <w:pStyle w:val="Normal"/>
        <w:spacing w:before="120" w:after="0"/>
        <w:rPr/>
      </w:pPr>
      <w:r>
        <w:rPr/>
        <w:t>Key hyperparameters: per-device batch size 1, gradient accumulation tuned per stage (1–16) to balance effective batch size against T4 step time (~17–19s/step), learning rate 2e-4, AdamW optimizer, gradient checkpointing enabled during training, bf16 mixed precision, and use_cache disabled during training / re-enabled for inference.</w:t>
      </w:r>
    </w:p>
    <w:p>
      <w:pPr>
        <w:pStyle w:val="Heading1"/>
        <w:rPr/>
      </w:pPr>
      <w:r>
        <w:rPr/>
        <w:t>4. Performance on the Validation Set</w:t>
      </w:r>
    </w:p>
    <w:p>
      <w:pPr>
        <w:pStyle w:val="Normal"/>
        <w:spacing w:before="0" w:after="120"/>
        <w:rPr/>
      </w:pPr>
      <w:r>
        <w:rPr/>
        <w:t>Evaluation was run on a held-out slice of Rowan/vcr disjoint from all training examples, scoring both the answer-selection and rationale-selection stages independently against ground-truth labels. Loss was tracked continuously across all three training stages via Weights &amp; Biases; the loss trajectory showed a clear and consistent downward trend within each stage (from ~13.5 at initialization down to ~3.8 by the final stage), indicating the adapter was successfully learning the task rather than memorizing noise.</w:t>
      </w:r>
    </w:p>
    <w:tbl>
      <w:tblPr>
        <w:tblW w:w="9360" w:type="dxa"/>
        <w:jc w:val="start"/>
        <w:tblInd w:w="0" w:type="dxa"/>
        <w:tblLayout w:type="fixed"/>
        <w:tblCellMar>
          <w:top w:w="80" w:type="dxa"/>
          <w:start w:w="100" w:type="dxa"/>
          <w:bottom w:w="80" w:type="dxa"/>
          <w:end w:w="100" w:type="dxa"/>
        </w:tblCellMar>
      </w:tblPr>
      <w:tblGrid>
        <w:gridCol w:w="4680"/>
        <w:gridCol w:w="4680"/>
      </w:tblGrid>
      <w:tr>
        <w:trPr>
          <w:tblHeader w:val="true"/>
        </w:trPr>
        <w:tc>
          <w:tcPr>
            <w:tcW w:w="4680"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rPr>
              <w:t>Metric</w:t>
            </w:r>
          </w:p>
        </w:tc>
        <w:tc>
          <w:tcPr>
            <w:tcW w:w="4680" w:type="dxa"/>
            <w:tcBorders>
              <w:top w:val="single" w:sz="4" w:space="0" w:color="000000"/>
              <w:start w:val="single" w:sz="4" w:space="0" w:color="000000"/>
              <w:bottom w:val="single" w:sz="4" w:space="0" w:color="000000"/>
              <w:end w:val="single" w:sz="4" w:space="0" w:color="000000"/>
            </w:tcBorders>
            <w:shd w:fill="2F5496" w:val="clear"/>
          </w:tcPr>
          <w:p>
            <w:pPr>
              <w:pStyle w:val="Normal"/>
              <w:rPr/>
            </w:pPr>
            <w:r>
              <w:rPr>
                <w:b/>
                <w:bCs/>
                <w:color w:val="FFFFFF"/>
              </w:rPr>
              <w:t>Result</w:t>
            </w:r>
          </w:p>
        </w:tc>
      </w:tr>
      <w:tr>
        <w:trPr/>
        <w:tc>
          <w:tcPr>
            <w:tcW w:w="468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Answer-selection accuracy (held-out set)</w:t>
            </w:r>
          </w:p>
        </w:tc>
        <w:tc>
          <w:tcPr>
            <w:tcW w:w="468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56%</w:t>
            </w:r>
          </w:p>
        </w:tc>
      </w:tr>
      <w:tr>
        <w:trPr/>
        <w:tc>
          <w:tcPr>
            <w:tcW w:w="468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Rationale-selection accuracy (held-out set)</w:t>
            </w:r>
          </w:p>
        </w:tc>
        <w:tc>
          <w:tcPr>
            <w:tcW w:w="468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32%</w:t>
            </w:r>
          </w:p>
        </w:tc>
      </w:tr>
      <w:tr>
        <w:trPr/>
        <w:tc>
          <w:tcPr>
            <w:tcW w:w="468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Training loss, stage 1 → stage 3</w:t>
            </w:r>
          </w:p>
        </w:tc>
        <w:tc>
          <w:tcPr>
            <w:tcW w:w="468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13.53 → 10.40 → 7.71 → ~3.8</w:t>
            </w:r>
          </w:p>
        </w:tc>
      </w:tr>
      <w:tr>
        <w:trPr/>
        <w:tc>
          <w:tcPr>
            <w:tcW w:w="468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Total fine-tuning steps across stages</w:t>
            </w:r>
          </w:p>
        </w:tc>
        <w:tc>
          <w:tcPr>
            <w:tcW w:w="468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t>~65 (cumulative, same adapter)</w:t>
            </w:r>
          </w:p>
        </w:tc>
      </w:tr>
    </w:tbl>
    <w:p>
      <w:pPr>
        <w:pStyle w:val="Normal"/>
        <w:spacing w:before="160" w:after="0"/>
        <w:rPr/>
      </w:pPr>
      <w:r>
        <w:rPr>
          <w:i/>
          <w:iCs/>
        </w:rPr>
        <w:t>Full run history, including all intermediate loss curves and system metrics, is publicly viewable on Weights &amp; Biases (see Section 6).</w:t>
      </w:r>
    </w:p>
    <w:p>
      <w:pPr>
        <w:pStyle w:val="Heading1"/>
        <w:rPr/>
      </w:pPr>
      <w:r>
        <w:rPr/>
        <w:t>5. Key Design Choices</w:t>
      </w:r>
    </w:p>
    <w:p>
      <w:pPr>
        <w:pStyle w:val="ListParagraph"/>
        <w:numPr>
          <w:ilvl w:val="0"/>
          <w:numId w:val="1"/>
        </w:numPr>
        <w:spacing w:before="0" w:after="100"/>
        <w:rPr/>
      </w:pPr>
      <w:r>
        <w:rPr>
          <w:b/>
          <w:bCs/>
        </w:rPr>
        <w:t xml:space="preserve">LoRA over full fine-tuning / QLoRA. </w:t>
      </w:r>
      <w:r>
        <w:rPr/>
        <w:t>A 4B model fits comfortably in fp16/bf16 on a T4 (16GB) without 4-bit quantization overhead. Once the memory constraint that motivates QLoRA no longer applied, plain LoRA in bf16 was chosen for fewer failure modes and faster iteration under time pressure, at the cost of some throughput versus native fp16 tensor cores (not available on Turing).</w:t>
      </w:r>
    </w:p>
    <w:p>
      <w:pPr>
        <w:pStyle w:val="ListParagraph"/>
        <w:numPr>
          <w:ilvl w:val="0"/>
          <w:numId w:val="1"/>
        </w:numPr>
        <w:spacing w:before="0" w:after="100"/>
        <w:rPr/>
      </w:pPr>
      <w:r>
        <w:rPr>
          <w:b/>
          <w:bCs/>
        </w:rPr>
        <w:t xml:space="preserve">bf16 over fp16. </w:t>
      </w:r>
      <w:r>
        <w:rPr/>
        <w:t>Qwen3-VL ships in native bfloat16. Mixing fp16 loss-scaling (GradScaler) with bf16 tensors caused a hard incompatibility (torch's AMP unscale kernel has no bf16 implementation); switching training fully to bf16 removed the need for loss scaling entirely and matched the model's native precision.</w:t>
      </w:r>
    </w:p>
    <w:p>
      <w:pPr>
        <w:pStyle w:val="ListParagraph"/>
        <w:numPr>
          <w:ilvl w:val="0"/>
          <w:numId w:val="1"/>
        </w:numPr>
        <w:spacing w:before="0" w:after="100"/>
        <w:rPr/>
      </w:pPr>
      <w:r>
        <w:rPr>
          <w:b/>
          <w:bCs/>
        </w:rPr>
        <w:t xml:space="preserve">Freezing the vision tower. </w:t>
      </w:r>
      <w:r>
        <w:rPr/>
        <w:t>With only a few hundred training examples, adapting a pretrained ViT risks degrading visual grounding for negligible gain. All adaptation was concentrated in the decoder, where task-specific reasoning patterns live.</w:t>
      </w:r>
    </w:p>
    <w:p>
      <w:pPr>
        <w:pStyle w:val="ListParagraph"/>
        <w:numPr>
          <w:ilvl w:val="0"/>
          <w:numId w:val="1"/>
        </w:numPr>
        <w:spacing w:before="0" w:after="100"/>
        <w:rPr/>
      </w:pPr>
      <w:r>
        <w:rPr>
          <w:b/>
          <w:bCs/>
        </w:rPr>
        <w:t xml:space="preserve">Training answer- and rationale-selection as separate but paired objectives. </w:t>
      </w:r>
      <w:r>
        <w:rPr/>
        <w:t>An initial run trained only on answer-selection; this was identified as a gap and corrected by adding a matched rationale-selection objective built from ground-truth answers, so the adapter learns both stages of the VCR pipeline rather than only the first.</w:t>
      </w:r>
    </w:p>
    <w:p>
      <w:pPr>
        <w:pStyle w:val="ListParagraph"/>
        <w:numPr>
          <w:ilvl w:val="0"/>
          <w:numId w:val="1"/>
        </w:numPr>
        <w:spacing w:before="0" w:after="100"/>
        <w:rPr/>
      </w:pPr>
      <w:r>
        <w:rPr>
          <w:b/>
          <w:bCs/>
        </w:rPr>
        <w:t xml:space="preserve">Target format aligned to the inference prompt. </w:t>
      </w:r>
      <w:r>
        <w:rPr/>
        <w:t>An early training pass targeted full answer text rather than the single-letter label the evaluation prompt requests, teaching the model to override its own instruction-following. This was caught via qualitative inspection of eval outputs and corrected by retraining the objective as the answer letter (A–D) directly, matching exactly what the prompt asks for.</w:t>
      </w:r>
    </w:p>
    <w:p>
      <w:pPr>
        <w:pStyle w:val="ListParagraph"/>
        <w:numPr>
          <w:ilvl w:val="0"/>
          <w:numId w:val="1"/>
        </w:numPr>
        <w:spacing w:before="0" w:after="100"/>
        <w:rPr/>
      </w:pPr>
      <w:r>
        <w:rPr>
          <w:b/>
          <w:bCs/>
        </w:rPr>
        <w:t xml:space="preserve">Non-overlapping data slices across training stages. </w:t>
      </w:r>
      <w:r>
        <w:rPr/>
        <w:t xml:space="preserve">Each additional training stage pulled a fresh, disjoint slice of Rowan/vcr (e.g. train[200:275]) to avoid re-training on already-seen examples and to make efficient use of limited wall-clock time </w:t>
      </w:r>
      <w:r>
        <w:rPr/>
        <w:t>which was due to my negligence, lowk sorry.</w:t>
      </w:r>
    </w:p>
    <w:p>
      <w:pPr>
        <w:pStyle w:val="Heading1"/>
        <w:rPr/>
      </w:pPr>
      <w:r>
        <w:rPr/>
        <w:t>6. Experiment Tracking and Model Publishing</w:t>
      </w:r>
    </w:p>
    <w:p>
      <w:pPr>
        <w:pStyle w:val="Normal"/>
        <w:spacing w:before="0" w:after="120"/>
        <w:rPr/>
      </w:pPr>
      <w:r>
        <w:rPr/>
        <w:t>Weights &amp; Biases and the HuggingFace Hub were treated as first-class parts of this pipeline rather than optional add-ons, given the constraints of iterating on a single Colab session with a hard time limit.</w:t>
      </w:r>
    </w:p>
    <w:p>
      <w:pPr>
        <w:pStyle w:val="Normal"/>
        <w:spacing w:before="0" w:after="100"/>
        <w:rPr/>
      </w:pPr>
      <w:r>
        <w:rPr>
          <w:b/>
          <w:bCs/>
        </w:rPr>
        <w:t xml:space="preserve">Weights &amp; Biases — </w:t>
      </w:r>
      <w:r>
        <w:rPr/>
        <w:t>every training stage was logged with report_to="wandb" and a distinct run name, giving a continuous, timestamped record of loss and system metrics that is written to W&amp;B's servers live as training progresses. This was deliberate insurance against Colab session termination: because logging is streamed rather than flushed at the end of a run, the full loss history for every stage — including an early buggy run — remained recoverable and inspectable at any point, independent of whether the notebook itself survived. Project: wandb.ai/tanygupt360-delhi-technological-university/huggingface.</w:t>
      </w:r>
    </w:p>
    <w:p>
      <w:pPr>
        <w:pStyle w:val="Normal"/>
        <w:spacing w:before="0" w:after="100"/>
        <w:rPr/>
      </w:pPr>
      <w:r>
        <w:rPr>
          <w:b/>
          <w:bCs/>
        </w:rPr>
        <w:t xml:space="preserve">HuggingFace Hub — </w:t>
      </w:r>
      <w:r>
        <w:rPr/>
        <w:t>the trained LoRA adapter was published to zzephyrr/qwen3vl-vcr-lora using push_to_hub=True combined with save_strategy="steps", so a checkpoint was committed to the Hub at each save interval throughout training, not only at completion. This meant the most recent adapter state was always recoverable from the Hub even if the Colab runtime was reclaimed mid-run. The adapter is loaded on top of the frozen base model via PEFT's PeftModel.from_pretrained, keeping the published artifact small (LoRA weights only) while remaining fully reproducible against the public base checkpoint.</w:t>
      </w:r>
    </w:p>
    <w:p>
      <w:pPr>
        <w:pStyle w:val="Normal"/>
        <w:spacing w:before="0" w:after="0"/>
        <w:rPr/>
      </w:pPr>
      <w:r>
        <w:rPr/>
        <w:t>Together, these two systems meant that at every stage of this project — including through several rounds of debugging described above — there was always a recoverable, inspectable, and shareable artifact of progress, rather than progress existing only inside a single ephemeral Colab runtime.</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LibreOffice/26.2.1.2$Linux_X86_64 LibreOffice_project/620$Build-2</Application>
  <AppVersion>15.0000</AppVersion>
  <Pages>3</Pages>
  <Words>1190</Words>
  <Characters>7097</Characters>
  <CharactersWithSpaces>8228</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2026-08-15T16:31:50Z</dcterms:created>
  <dc:creator>Un-named</dc:creator>
  <dc:description/>
  <dc:language>en-US</dc:language>
  <cp:lastModifiedBy/>
  <dcterms:modified xsi:type="dcterms:W3CDTF">2026-08-15T22:06:11Z</dcterms:modified>
  <cp:revision>2</cp:revision>
  <dc:subject/>
  <dc:title/>
</cp:coreProperties>
</file>