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0"/>
              <w:left w:type="dxa" w:w="600"/>
              <w:bottom w:type="dxa" w:w="800"/>
              <w:right w:type="dxa" w:w="600"/>
            </w:tcMar>
          </w:tcPr>
          <w:p>
            <w:pPr>
              <w:spacing w:after="200" w:before="0"/>
              <w:jc w:val="center"/>
            </w:pPr>
            <w:r>
              <w:rPr>
                <w:rFonts w:ascii="Arial" w:cs="Arial" w:eastAsia="Arial" w:hAnsi="Arial"/>
                <w:b/>
                <w:bCs/>
                <w:color w:val="FFFFFF"/>
                <w:sz w:val="72"/>
                <w:szCs w:val="72"/>
              </w:rPr>
              <w:t xml:space="preserve">ClearConsent</w:t>
            </w:r>
          </w:p>
          <w:p>
            <w:pPr>
              <w:spacing w:after="200" w:before="0"/>
              <w:jc w:val="center"/>
            </w:pPr>
            <w:r>
              <w:rPr>
                <w:rFonts w:ascii="Arial" w:cs="Arial" w:eastAsia="Arial" w:hAnsi="Arial"/>
                <w:i/>
                <w:iCs/>
                <w:color w:val="A8D8EA"/>
                <w:sz w:val="28"/>
                <w:szCs w:val="28"/>
              </w:rPr>
              <w:t xml:space="preserve">Know What You Sign. Break the Norm.</w:t>
            </w:r>
          </w:p>
          <w:p>
            <w:pPr>
              <w:spacing w:after="0" w:before="200"/>
              <w:jc w:val="center"/>
            </w:pPr>
            <w:r>
              <w:rPr>
                <w:rFonts w:ascii="Arial" w:cs="Arial" w:eastAsia="Arial" w:hAnsi="Arial"/>
                <w:color w:val="BDC3C7"/>
                <w:sz w:val="22"/>
                <w:szCs w:val="22"/>
              </w:rPr>
              <w:t xml:space="preserve">BearHacks 2026  |  Product Specification Document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color="FFFFFF" w:sz="0"/>
              <w:left w:val="none" w:color="FFFFFF" w:sz="0"/>
              <w:bottom w:val="none" w:color="FFFFFF" w:sz="0"/>
              <w:right w:val="none" w:color="FFFFFF" w:sz="0"/>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1st Place Target</w:t>
            </w:r>
          </w:p>
        </w:tc>
        <w:tc>
          <w:tcPr>
            <w:tcBorders>
              <w:top w:val="none" w:color="FFFFFF" w:sz="0"/>
              <w:left w:val="none" w:color="FFFFFF" w:sz="0"/>
              <w:bottom w:val="none" w:color="FFFFFF" w:sz="0"/>
              <w:right w:val="none" w:color="FFFFFF" w:sz="0"/>
            </w:tcBorders>
            <w:shd w:fill="2E86A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Google Vision</w:t>
            </w:r>
          </w:p>
        </w:tc>
        <w:tc>
          <w:tcPr>
            <w:tcBorders>
              <w:top w:val="none" w:color="FFFFFF" w:sz="0"/>
              <w:left w:val="none" w:color="FFFFFF" w:sz="0"/>
              <w:bottom w:val="none" w:color="FFFFFF" w:sz="0"/>
              <w:right w:val="none" w:color="FFFFFF" w:sz="0"/>
            </w:tcBorders>
            <w:shd w:fill="6A1B9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Best UI/UX</w:t>
            </w:r>
          </w:p>
        </w:tc>
        <w:tc>
          <w:tcPr>
            <w:tcBorders>
              <w:top w:val="none" w:color="FFFFFF" w:sz="0"/>
              <w:left w:val="none" w:color="FFFFFF" w:sz="0"/>
              <w:bottom w:val="none" w:color="FFFFFF" w:sz="0"/>
              <w:right w:val="none" w:color="FFFFFF" w:sz="0"/>
            </w:tcBorders>
            <w:shd w:fill="2E7D3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Backboard</w:t>
            </w:r>
          </w:p>
        </w:tc>
        <w:tc>
          <w:tcPr>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DCP</w:t>
            </w:r>
          </w:p>
        </w:tc>
        <w:tc>
          <w:tcPr>
            <w:tcBorders>
              <w:top w:val="none" w:color="FFFFFF" w:sz="0"/>
              <w:left w:val="none" w:color="FFFFFF" w:sz="0"/>
              <w:bottom w:val="none" w:color="FFFFFF" w:sz="0"/>
              <w:right w:val="none" w:color="FFFFFF" w:sz="0"/>
            </w:tcBorders>
            <w:shd w:fill="C0392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Gemma 4</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$5,460+</w:t>
            </w:r>
          </w:p>
          <w:p>
            <w:pPr>
              <w:jc w:val="center"/>
            </w:pPr>
            <w:r>
              <w:rPr>
                <w:rFonts w:ascii="Arial" w:cs="Arial" w:eastAsia="Arial" w:hAnsi="Arial"/>
                <w:color w:val="1E3A5F"/>
                <w:sz w:val="18"/>
                <w:szCs w:val="18"/>
              </w:rPr>
              <w:t xml:space="preserve">Potential Prize Money</w:t>
            </w:r>
          </w:p>
        </w:tc>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7</w:t>
            </w:r>
          </w:p>
          <w:p>
            <w:pPr>
              <w:jc w:val="center"/>
            </w:pPr>
            <w:r>
              <w:rPr>
                <w:rFonts w:ascii="Arial" w:cs="Arial" w:eastAsia="Arial" w:hAnsi="Arial"/>
                <w:color w:val="1E3A5F"/>
                <w:sz w:val="18"/>
                <w:szCs w:val="18"/>
              </w:rPr>
              <w:t xml:space="preserve">Prize Tracks Targeted</w:t>
            </w:r>
          </w:p>
        </w:tc>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~10 hrs</w:t>
            </w:r>
          </w:p>
          <w:p>
            <w:pPr>
              <w:jc w:val="center"/>
            </w:pPr>
            <w:r>
              <w:rPr>
                <w:rFonts w:ascii="Arial" w:cs="Arial" w:eastAsia="Arial" w:hAnsi="Arial"/>
                <w:color w:val="1E3A5F"/>
                <w:sz w:val="18"/>
                <w:szCs w:val="18"/>
              </w:rPr>
              <w:t xml:space="preserve">Total Coding Time</w:t>
            </w:r>
          </w:p>
        </w:tc>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4</w:t>
            </w:r>
          </w:p>
          <w:p>
            <w:pPr>
              <w:jc w:val="center"/>
            </w:pPr>
            <w:r>
              <w:rPr>
                <w:rFonts w:ascii="Arial" w:cs="Arial" w:eastAsia="Arial" w:hAnsi="Arial"/>
                <w:color w:val="1E3A5F"/>
                <w:sz w:val="18"/>
                <w:szCs w:val="18"/>
              </w:rPr>
              <w:t xml:space="preserve">Team Members</w:t>
            </w:r>
          </w:p>
        </w:tc>
      </w:tr>
    </w:tbl>
    <w:p>
      <w:r>
        <w:br w:type="page"/>
      </w:r>
    </w:p>
    <w:p>
      <w:pPr>
        <w:pStyle w:val="Heading1"/>
        <w:pBdr>
          <w:bottom w:val="single" w:color="2E86AB" w:sz="8" w:space="4"/>
        </w:pBdr>
        <w:spacing w:after="160" w:before="400"/>
      </w:pPr>
      <w:r>
        <w:rPr>
          <w:rFonts w:ascii="Arial" w:cs="Arial" w:eastAsia="Arial" w:hAnsi="Arial"/>
          <w:b/>
          <w:bCs/>
          <w:color w:val="1E3A5F"/>
          <w:sz w:val="36"/>
          <w:szCs w:val="36"/>
        </w:rPr>
        <w:t xml:space="preserve">The Problem</w:t>
      </w:r>
    </w:p>
    <w:p>
      <w:pPr>
        <w:spacing w:after="80" w:before="80"/>
      </w:pPr>
      <w:r>
        <w:rPr>
          <w:rFonts w:ascii="Arial" w:cs="Arial" w:eastAsia="Arial" w:hAnsi="Arial"/>
          <w:color w:val="2C3E50"/>
          <w:sz w:val="22"/>
          <w:szCs w:val="22"/>
        </w:rPr>
        <w:t xml:space="preserve">Every day, millions of people sign medical waivers, rental agreements, employment contracts, and app terms of service without understanding what they are agreeing to. These documents are deliberately dense, written in legal language designed to obscure rather than inform.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The Norm We Are Breaking</w:t>
            </w:r>
          </w:p>
        </w:tc>
      </w:tr>
      <w:tr>
        <w:tc>
          <w:tcPr>
            <w:tcBorders>
              <w:top w:val="single" w:color="BDC3C7" w:sz="1"/>
              <w:left w:val="single" w:color="BDC3C7" w:sz="1"/>
              <w:bottom w:val="single" w:color="BDC3C7" w:sz="1"/>
              <w:right w:val="single" w:color="BDC3C7" w:sz="1"/>
            </w:tcBorders>
            <w:shd w:fill="D6EAF8" w:val="clear"/>
            <w:tcMar>
              <w:top w:type="dxa" w:w="120"/>
              <w:left w:type="dxa" w:w="160"/>
              <w:bottom w:type="dxa" w:w="120"/>
              <w:right w:type="dxa" w:w="160"/>
            </w:tcMar>
          </w:tcPr>
          <w:p>
            <w:r>
              <w:rPr>
                <w:rFonts w:ascii="Arial" w:cs="Arial" w:eastAsia="Arial" w:hAnsi="Arial"/>
                <w:color w:val="2C3E50"/>
                <w:sz w:val="21"/>
                <w:szCs w:val="21"/>
              </w:rPr>
              <w:t xml:space="preserve">You are supposed to just sign. Every institution — hospitals, landlords, employers, tech companies — has built an entire system around the assumption that you will not read what you sign. ClearConsent breaks that assumption entirely.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91%</w:t>
            </w:r>
          </w:p>
          <w:p>
            <w:pPr>
              <w:jc w:val="center"/>
            </w:pPr>
            <w:r>
              <w:rPr>
                <w:rFonts w:ascii="Arial" w:cs="Arial" w:eastAsia="Arial" w:hAnsi="Arial"/>
                <w:color w:val="1E3A5F"/>
                <w:sz w:val="18"/>
                <w:szCs w:val="18"/>
              </w:rPr>
              <w:t xml:space="preserve">of people skip reading T&amp;Cs</w:t>
            </w:r>
          </w:p>
        </w:tc>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$300B+</w:t>
            </w:r>
          </w:p>
          <w:p>
            <w:pPr>
              <w:jc w:val="center"/>
            </w:pPr>
            <w:r>
              <w:rPr>
                <w:rFonts w:ascii="Arial" w:cs="Arial" w:eastAsia="Arial" w:hAnsi="Arial"/>
                <w:color w:val="1E3A5F"/>
                <w:sz w:val="18"/>
                <w:szCs w:val="18"/>
              </w:rPr>
              <w:t xml:space="preserve">lost annually to unfair clauses</w:t>
            </w:r>
          </w:p>
        </w:tc>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1 in 3</w:t>
            </w:r>
          </w:p>
          <w:p>
            <w:pPr>
              <w:jc w:val="center"/>
            </w:pPr>
            <w:r>
              <w:rPr>
                <w:rFonts w:ascii="Arial" w:cs="Arial" w:eastAsia="Arial" w:hAnsi="Arial"/>
                <w:color w:val="1E3A5F"/>
                <w:sz w:val="18"/>
                <w:szCs w:val="18"/>
              </w:rPr>
              <w:t xml:space="preserve">medical consent forms waive legal rights</w:t>
            </w:r>
          </w:p>
        </w:tc>
        <w:tc>
          <w:tcPr>
            <w:tcBorders>
              <w:top w:val="single" w:color="BDC3C7" w:sz="1"/>
              <w:left w:val="single" w:color="BDC3C7" w:sz="1"/>
              <w:bottom w:val="single" w:color="BDC3C7" w:sz="1"/>
              <w:right w:val="single" w:color="BDC3C7" w:sz="1"/>
            </w:tcBorders>
            <w:shd w:fill="D6EAF8"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0</w:t>
            </w:r>
          </w:p>
          <w:p>
            <w:pPr>
              <w:jc w:val="center"/>
            </w:pPr>
            <w:r>
              <w:rPr>
                <w:rFonts w:ascii="Arial" w:cs="Arial" w:eastAsia="Arial" w:hAnsi="Arial"/>
                <w:color w:val="1E3A5F"/>
                <w:sz w:val="18"/>
                <w:szCs w:val="18"/>
              </w:rPr>
              <w:t xml:space="preserve">tools that explain before you sign</w:t>
            </w:r>
          </w:p>
        </w:tc>
      </w:tr>
    </w:tbl>
    <w:p>
      <w:pPr>
        <w:spacing w:after="0" w:before="200"/>
      </w:pPr>
      <w:r>
        <w:t xml:space="preserve"/>
      </w:r>
    </w:p>
    <w:p>
      <w:pPr>
        <w:pStyle w:val="Heading1"/>
        <w:pBdr>
          <w:bottom w:val="single" w:color="2E86AB" w:sz="8" w:space="4"/>
        </w:pBdr>
        <w:spacing w:after="160" w:before="400"/>
      </w:pPr>
      <w:r>
        <w:rPr>
          <w:rFonts w:ascii="Arial" w:cs="Arial" w:eastAsia="Arial" w:hAnsi="Arial"/>
          <w:b/>
          <w:bCs/>
          <w:color w:val="1E3A5F"/>
          <w:sz w:val="36"/>
          <w:szCs w:val="36"/>
        </w:rPr>
        <w:t xml:space="preserve">The Solution</w:t>
      </w:r>
    </w:p>
    <w:p>
      <w:pPr>
        <w:spacing w:after="80" w:before="80"/>
      </w:pPr>
      <w:r>
        <w:rPr>
          <w:rFonts w:ascii="Arial" w:cs="Arial" w:eastAsia="Arial" w:hAnsi="Arial"/>
          <w:color w:val="2C3E50"/>
          <w:sz w:val="22"/>
          <w:szCs w:val="22"/>
        </w:rPr>
        <w:t xml:space="preserve">ClearConsent is an AI-powered consent analysis platform. Photograph or upload any legal or medical document. In under five seconds, our custom-trained NLP model identifies the most consequential clauses, flags rights waivers, and produces a plain-language risk score — before you sign.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40"/>
            </w:pPr>
            <w:r>
              <w:rPr>
                <w:rFonts w:ascii="Arial" w:cs="Arial" w:eastAsia="Arial" w:hAnsi="Arial"/>
                <w:b/>
                <w:bCs/>
                <w:color w:val="1E3A5F"/>
                <w:sz w:val="24"/>
                <w:szCs w:val="24"/>
              </w:rPr>
              <w:t xml:space="preserve">What it does</w:t>
            </w:r>
          </w:p>
          <w:p>
            <w:pPr>
              <w:pStyle w:val="ListParagraph"/>
              <w:numPr>
                <w:ilvl w:val="0"/>
                <w:numId w:val="2"/>
              </w:numPr>
              <w:spacing w:after="60" w:before="60"/>
            </w:pPr>
            <w:r>
              <w:rPr>
                <w:rFonts w:ascii="Arial" w:cs="Arial" w:eastAsia="Arial" w:hAnsi="Arial"/>
                <w:color w:val="2C3E50"/>
                <w:sz w:val="22"/>
                <w:szCs w:val="22"/>
              </w:rPr>
              <w:t xml:space="preserve">Extracts document layout and text using Google Cloud Vision API</w:t>
            </w:r>
          </w:p>
          <w:p>
            <w:pPr>
              <w:pStyle w:val="ListParagraph"/>
              <w:numPr>
                <w:ilvl w:val="0"/>
                <w:numId w:val="2"/>
              </w:numPr>
              <w:spacing w:after="60" w:before="60"/>
            </w:pPr>
            <w:r>
              <w:rPr>
                <w:rFonts w:ascii="Arial" w:cs="Arial" w:eastAsia="Arial" w:hAnsi="Arial"/>
                <w:color w:val="2C3E50"/>
                <w:sz w:val="22"/>
                <w:szCs w:val="22"/>
              </w:rPr>
              <w:t xml:space="preserve">Classifies clauses using a custom DistilBERT model fine-tuned on the CUAD legal dataset</w:t>
            </w:r>
          </w:p>
          <w:p>
            <w:pPr>
              <w:pStyle w:val="ListParagraph"/>
              <w:numPr>
                <w:ilvl w:val="0"/>
                <w:numId w:val="2"/>
              </w:numPr>
              <w:spacing w:after="60" w:before="60"/>
            </w:pPr>
            <w:r>
              <w:rPr>
                <w:rFonts w:ascii="Arial" w:cs="Arial" w:eastAsia="Arial" w:hAnsi="Arial"/>
                <w:color w:val="2C3E50"/>
                <w:sz w:val="22"/>
                <w:szCs w:val="22"/>
              </w:rPr>
              <w:t xml:space="preserve">Identifies rights waivers, arbitration clauses, liability caps, auto-renewals</w:t>
            </w:r>
          </w:p>
          <w:p>
            <w:pPr>
              <w:pStyle w:val="ListParagraph"/>
              <w:numPr>
                <w:ilvl w:val="0"/>
                <w:numId w:val="2"/>
              </w:numPr>
              <w:spacing w:after="60" w:before="60"/>
            </w:pPr>
            <w:r>
              <w:rPr>
                <w:rFonts w:ascii="Arial" w:cs="Arial" w:eastAsia="Arial" w:hAnsi="Arial"/>
                <w:color w:val="2C3E50"/>
                <w:sz w:val="22"/>
                <w:szCs w:val="22"/>
              </w:rPr>
              <w:t xml:space="preserve">Generates a plain-language summary and risk score using Gemma 4</w:t>
            </w:r>
          </w:p>
          <w:p>
            <w:pPr>
              <w:pStyle w:val="ListParagraph"/>
              <w:numPr>
                <w:ilvl w:val="0"/>
                <w:numId w:val="2"/>
              </w:numPr>
              <w:spacing w:after="60" w:before="60"/>
            </w:pPr>
            <w:r>
              <w:rPr>
                <w:rFonts w:ascii="Arial" w:cs="Arial" w:eastAsia="Arial" w:hAnsi="Arial"/>
                <w:color w:val="2C3E50"/>
                <w:sz w:val="22"/>
                <w:szCs w:val="22"/>
              </w:rPr>
              <w:t xml:space="preserve">Stores your consent history in Backboard for future reference</w:t>
            </w:r>
          </w:p>
          <w:p>
            <w:pPr>
              <w:pStyle w:val="ListParagraph"/>
              <w:numPr>
                <w:ilvl w:val="0"/>
                <w:numId w:val="2"/>
              </w:numPr>
              <w:spacing w:after="60" w:before="60"/>
            </w:pPr>
            <w:r>
              <w:rPr>
                <w:rFonts w:ascii="Arial" w:cs="Arial" w:eastAsia="Arial" w:hAnsi="Arial"/>
                <w:color w:val="2C3E50"/>
                <w:sz w:val="22"/>
                <w:szCs w:val="22"/>
              </w:rPr>
              <w:t xml:space="preserve">Batch-processes multi-page documents using DCP for speed</w:t>
            </w:r>
          </w:p>
        </w:tc>
        <w:tc>
          <w:tcPr>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40"/>
            </w:pPr>
            <w:r>
              <w:rPr>
                <w:rFonts w:ascii="Arial" w:cs="Arial" w:eastAsia="Arial" w:hAnsi="Arial"/>
                <w:b/>
                <w:bCs/>
                <w:color w:val="1E3A5F"/>
                <w:sz w:val="24"/>
                <w:szCs w:val="24"/>
              </w:rPr>
              <w:t xml:space="preserve">What it changes</w:t>
            </w:r>
          </w:p>
          <w:p>
            <w:pPr>
              <w:pStyle w:val="ListParagraph"/>
              <w:numPr>
                <w:ilvl w:val="0"/>
                <w:numId w:val="2"/>
              </w:numPr>
              <w:spacing w:after="60" w:before="60"/>
            </w:pPr>
            <w:r>
              <w:rPr>
                <w:rFonts w:ascii="Arial" w:cs="Arial" w:eastAsia="Arial" w:hAnsi="Arial"/>
                <w:color w:val="2C3E50"/>
                <w:sz w:val="22"/>
                <w:szCs w:val="22"/>
              </w:rPr>
              <w:t xml:space="preserve">A hospital patient understands what they are waiving before surgery</w:t>
            </w:r>
          </w:p>
          <w:p>
            <w:pPr>
              <w:pStyle w:val="ListParagraph"/>
              <w:numPr>
                <w:ilvl w:val="0"/>
                <w:numId w:val="2"/>
              </w:numPr>
              <w:spacing w:after="60" w:before="60"/>
            </w:pPr>
            <w:r>
              <w:rPr>
                <w:rFonts w:ascii="Arial" w:cs="Arial" w:eastAsia="Arial" w:hAnsi="Arial"/>
                <w:color w:val="2C3E50"/>
                <w:sz w:val="22"/>
                <w:szCs w:val="22"/>
              </w:rPr>
              <w:t xml:space="preserve">A renter knows if their lease has illegal clauses before signing</w:t>
            </w:r>
          </w:p>
          <w:p>
            <w:pPr>
              <w:pStyle w:val="ListParagraph"/>
              <w:numPr>
                <w:ilvl w:val="0"/>
                <w:numId w:val="2"/>
              </w:numPr>
              <w:spacing w:after="60" w:before="60"/>
            </w:pPr>
            <w:r>
              <w:rPr>
                <w:rFonts w:ascii="Arial" w:cs="Arial" w:eastAsia="Arial" w:hAnsi="Arial"/>
                <w:color w:val="2C3E50"/>
                <w:sz w:val="22"/>
                <w:szCs w:val="22"/>
              </w:rPr>
              <w:t xml:space="preserve">An employee catches a non-compete hidden on page 14</w:t>
            </w:r>
          </w:p>
          <w:p>
            <w:pPr>
              <w:pStyle w:val="ListParagraph"/>
              <w:numPr>
                <w:ilvl w:val="0"/>
                <w:numId w:val="2"/>
              </w:numPr>
              <w:spacing w:after="60" w:before="60"/>
            </w:pPr>
            <w:r>
              <w:rPr>
                <w:rFonts w:ascii="Arial" w:cs="Arial" w:eastAsia="Arial" w:hAnsi="Arial"/>
                <w:color w:val="2C3E50"/>
                <w:sz w:val="22"/>
                <w:szCs w:val="22"/>
              </w:rPr>
              <w:t xml:space="preserve">Anyone can audit any document in seconds with no legal training</w:t>
            </w:r>
          </w:p>
          <w:p>
            <w:pPr>
              <w:pStyle w:val="ListParagraph"/>
              <w:numPr>
                <w:ilvl w:val="0"/>
                <w:numId w:val="2"/>
              </w:numPr>
              <w:spacing w:after="60" w:before="60"/>
            </w:pPr>
            <w:r>
              <w:rPr>
                <w:rFonts w:ascii="Arial" w:cs="Arial" w:eastAsia="Arial" w:hAnsi="Arial"/>
                <w:color w:val="2C3E50"/>
                <w:sz w:val="22"/>
                <w:szCs w:val="22"/>
              </w:rPr>
              <w:t xml:space="preserve">Your consent history is stored permanently — retrievable anytime</w:t>
            </w:r>
          </w:p>
        </w:tc>
      </w:tr>
    </w:tbl>
    <w:p>
      <w:r>
        <w:br w:type="page"/>
      </w:r>
    </w:p>
    <w:p>
      <w:pPr>
        <w:pStyle w:val="Heading1"/>
        <w:pBdr>
          <w:bottom w:val="single" w:color="2E86AB" w:sz="8" w:space="4"/>
        </w:pBdr>
        <w:spacing w:after="160" w:before="400"/>
      </w:pPr>
      <w:r>
        <w:rPr>
          <w:rFonts w:ascii="Arial" w:cs="Arial" w:eastAsia="Arial" w:hAnsi="Arial"/>
          <w:b/>
          <w:bCs/>
          <w:color w:val="1E3A5F"/>
          <w:sz w:val="36"/>
          <w:szCs w:val="36"/>
        </w:rPr>
        <w:t xml:space="preserve">Technical Architecture</w:t>
      </w:r>
    </w:p>
    <w:p>
      <w:pPr>
        <w:spacing w:after="80" w:before="80"/>
      </w:pPr>
      <w:r>
        <w:rPr>
          <w:rFonts w:ascii="Arial" w:cs="Arial" w:eastAsia="Arial" w:hAnsi="Arial"/>
          <w:color w:val="2C3E50"/>
          <w:sz w:val="22"/>
          <w:szCs w:val="22"/>
        </w:rPr>
        <w:t xml:space="preserve">ClearConsent uses a two-model architecture: a custom fine-tuned NLP classifier for clause detection, and Gemma 4 for plain-language reasoning. Google Vision handles the visual document parsing layer. All components communicate through a FastAPI backend.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Next.js 14, Tailwind CSS, Framer Motion</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Animated risk cards, responsive upload flow, history dashboard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Python FastAPI</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REST API connecting all services, orchestration layer</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Custom Model</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DistilBERT fine-tuned on CUAD dataset</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Clause classification: rights waiver, arbitration, liability cap, auto-renewal</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Gemma 4</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Google Gemma 4 via Gemini API (MLH track)</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On-device reasoning, plain-language rewriting of flagged clauses</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Google Vision</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Cloud Vision API</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Document layout detection, field localization, signature zone identification</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Backboard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Backboard API (MLH sponsor)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Consent vault, user document history, cross-session persistence</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DCP</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Distributive Compute Protocol</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Parallel batch processing of multi-page legal documents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Storage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Supabase or Firebase</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 metadata, user profiles, scan history</w:t>
            </w:r>
          </w:p>
        </w:tc>
      </w:tr>
    </w:tbl>
    <w:p>
      <w:pPr>
        <w:spacing w:after="0" w:before="240"/>
      </w:pPr>
      <w:r>
        <w:t xml:space="preserve"/>
      </w:r>
    </w:p>
    <w:p>
      <w:pPr>
        <w:pStyle w:val="Heading2"/>
        <w:spacing w:after="120" w:before="320"/>
      </w:pPr>
      <w:r>
        <w:rPr>
          <w:rFonts w:ascii="Arial" w:cs="Arial" w:eastAsia="Arial" w:hAnsi="Arial"/>
          <w:b/>
          <w:bCs/>
          <w:color w:val="2E86AB"/>
          <w:sz w:val="28"/>
          <w:szCs w:val="28"/>
        </w:rPr>
        <w:t xml:space="preserve">Custom Model — The Core Technical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Dataset: CUAD (Contract Understanding Atticus Dataset)</w:t>
            </w:r>
          </w:p>
        </w:tc>
      </w:tr>
      <w:tr>
        <w:tc>
          <w:tcPr>
            <w:tcBorders>
              <w:top w:val="single" w:color="BDC3C7" w:sz="1"/>
              <w:left w:val="single" w:color="BDC3C7" w:sz="1"/>
              <w:bottom w:val="single" w:color="BDC3C7" w:sz="1"/>
              <w:right w:val="single" w:color="BDC3C7" w:sz="1"/>
            </w:tcBorders>
            <w:shd w:fill="D6EAF8" w:val="clear"/>
            <w:tcMar>
              <w:top w:type="dxa" w:w="120"/>
              <w:left w:type="dxa" w:w="160"/>
              <w:bottom w:type="dxa" w:w="120"/>
              <w:right w:type="dxa" w:w="160"/>
            </w:tcMar>
          </w:tcPr>
          <w:p>
            <w:r>
              <w:rPr>
                <w:rFonts w:ascii="Arial" w:cs="Arial" w:eastAsia="Arial" w:hAnsi="Arial"/>
                <w:color w:val="2C3E50"/>
                <w:sz w:val="21"/>
                <w:szCs w:val="21"/>
              </w:rPr>
              <w:t xml:space="preserve">510 commercial legal contracts with 13,000+ expert-labeled clause annotations across 41 clause types including rights waivers, indemnification, arbitration, termination, and auto-renewal. Published by the Atticus Project. Freely available on Hugging Face. Download time: under 5 minutes.</w:t>
            </w:r>
          </w:p>
        </w:tc>
      </w:tr>
    </w:tbl>
    <w:p>
      <w:pPr>
        <w:spacing w:after="0" w:before="160"/>
      </w:pPr>
      <w:r>
        <w:t xml:space="preserve"/>
      </w:r>
    </w:p>
    <w:p>
      <w:pPr>
        <w:spacing w:after="80" w:before="80"/>
      </w:pPr>
      <w:r>
        <w:rPr>
          <w:rFonts w:ascii="Arial" w:cs="Arial" w:eastAsia="Arial" w:hAnsi="Arial"/>
          <w:b/>
          <w:bCs/>
          <w:color w:val="1E3A5F"/>
          <w:sz w:val="22"/>
          <w:szCs w:val="22"/>
        </w:rPr>
        <w:t xml:space="preserve">Fine-tuning approach:</w:t>
      </w:r>
    </w:p>
    <w:p>
      <w:pPr>
        <w:pStyle w:val="ListParagraph"/>
        <w:numPr>
          <w:ilvl w:val="0"/>
          <w:numId w:val="2"/>
        </w:numPr>
        <w:spacing w:after="60" w:before="60"/>
      </w:pPr>
      <w:r>
        <w:rPr>
          <w:rFonts w:ascii="Arial" w:cs="Arial" w:eastAsia="Arial" w:hAnsi="Arial"/>
          <w:color w:val="2C3E50"/>
          <w:sz w:val="22"/>
          <w:szCs w:val="22"/>
        </w:rPr>
        <w:t xml:space="preserve">Base model: DistilBERT-base-uncased (fast fine-tune, ~1.5 hours on Colab T4)</w:t>
      </w:r>
    </w:p>
    <w:p>
      <w:pPr>
        <w:pStyle w:val="ListParagraph"/>
        <w:numPr>
          <w:ilvl w:val="0"/>
          <w:numId w:val="2"/>
        </w:numPr>
        <w:spacing w:after="60" w:before="60"/>
      </w:pPr>
      <w:r>
        <w:rPr>
          <w:rFonts w:ascii="Arial" w:cs="Arial" w:eastAsia="Arial" w:hAnsi="Arial"/>
          <w:color w:val="2C3E50"/>
          <w:sz w:val="22"/>
          <w:szCs w:val="22"/>
        </w:rPr>
        <w:t xml:space="preserve">Task: multi-label clause classification — each clause segment gets tagged with one or more risk categories</w:t>
      </w:r>
    </w:p>
    <w:p>
      <w:pPr>
        <w:pStyle w:val="ListParagraph"/>
        <w:numPr>
          <w:ilvl w:val="0"/>
          <w:numId w:val="2"/>
        </w:numPr>
        <w:spacing w:after="60" w:before="60"/>
      </w:pPr>
      <w:r>
        <w:rPr>
          <w:rFonts w:ascii="Arial" w:cs="Arial" w:eastAsia="Arial" w:hAnsi="Arial"/>
          <w:color w:val="2C3E50"/>
          <w:sz w:val="22"/>
          <w:szCs w:val="22"/>
        </w:rPr>
        <w:t xml:space="preserve">Output: clause text + risk category + confidence score + severity level (Low / Medium / High / Critical)</w:t>
      </w:r>
    </w:p>
    <w:p>
      <w:pPr>
        <w:pStyle w:val="ListParagraph"/>
        <w:numPr>
          <w:ilvl w:val="0"/>
          <w:numId w:val="2"/>
        </w:numPr>
        <w:spacing w:after="60" w:before="60"/>
      </w:pPr>
      <w:r>
        <w:rPr>
          <w:rFonts w:ascii="Arial" w:cs="Arial" w:eastAsia="Arial" w:hAnsi="Arial"/>
          <w:color w:val="2C3E50"/>
          <w:sz w:val="22"/>
          <w:szCs w:val="22"/>
        </w:rPr>
        <w:t xml:space="preserve">Inference time: under 800ms per page on CPU, under 200ms with GPU</w:t>
      </w:r>
    </w:p>
    <w:p>
      <w:pPr>
        <w:spacing w:after="0" w:before="120"/>
      </w:pPr>
      <w:r>
        <w:t xml:space="preserve"/>
      </w:r>
    </w:p>
    <w:p>
      <w:pPr>
        <w:spacing w:after="80" w:before="80"/>
      </w:pPr>
      <w:r>
        <w:rPr>
          <w:rFonts w:ascii="Arial" w:cs="Arial" w:eastAsia="Arial" w:hAnsi="Arial"/>
          <w:b/>
          <w:bCs/>
          <w:color w:val="1E3A5F"/>
          <w:sz w:val="22"/>
          <w:szCs w:val="22"/>
        </w:rPr>
        <w:t xml:space="preserve">Gemma 4 layer:</w:t>
      </w:r>
    </w:p>
    <w:p>
      <w:pPr>
        <w:pStyle w:val="ListParagraph"/>
        <w:numPr>
          <w:ilvl w:val="0"/>
          <w:numId w:val="2"/>
        </w:numPr>
        <w:spacing w:after="60" w:before="60"/>
      </w:pPr>
      <w:r>
        <w:rPr>
          <w:rFonts w:ascii="Arial" w:cs="Arial" w:eastAsia="Arial" w:hAnsi="Arial"/>
          <w:color w:val="2C3E50"/>
          <w:sz w:val="22"/>
          <w:szCs w:val="22"/>
        </w:rPr>
        <w:t xml:space="preserve">Receives flagged clauses from the custom model</w:t>
      </w:r>
    </w:p>
    <w:p>
      <w:pPr>
        <w:pStyle w:val="ListParagraph"/>
        <w:numPr>
          <w:ilvl w:val="0"/>
          <w:numId w:val="2"/>
        </w:numPr>
        <w:spacing w:after="60" w:before="60"/>
      </w:pPr>
      <w:r>
        <w:rPr>
          <w:rFonts w:ascii="Arial" w:cs="Arial" w:eastAsia="Arial" w:hAnsi="Arial"/>
          <w:color w:val="2C3E50"/>
          <w:sz w:val="22"/>
          <w:szCs w:val="22"/>
        </w:rPr>
        <w:t xml:space="preserve">Rewrites each clause in plain language a non-lawyer can understand</w:t>
      </w:r>
    </w:p>
    <w:p>
      <w:pPr>
        <w:pStyle w:val="ListParagraph"/>
        <w:numPr>
          <w:ilvl w:val="0"/>
          <w:numId w:val="2"/>
        </w:numPr>
        <w:spacing w:after="60" w:before="60"/>
      </w:pPr>
      <w:r>
        <w:rPr>
          <w:rFonts w:ascii="Arial" w:cs="Arial" w:eastAsia="Arial" w:hAnsi="Arial"/>
          <w:color w:val="2C3E50"/>
          <w:sz w:val="22"/>
          <w:szCs w:val="22"/>
        </w:rPr>
        <w:t xml:space="preserve">Generates the overall document risk score and executive summary</w:t>
      </w:r>
    </w:p>
    <w:p>
      <w:pPr>
        <w:pStyle w:val="ListParagraph"/>
        <w:numPr>
          <w:ilvl w:val="0"/>
          <w:numId w:val="2"/>
        </w:numPr>
        <w:spacing w:after="60" w:before="60"/>
      </w:pPr>
      <w:r>
        <w:rPr>
          <w:rFonts w:ascii="Arial" w:cs="Arial" w:eastAsia="Arial" w:hAnsi="Arial"/>
          <w:color w:val="2C3E50"/>
          <w:sz w:val="22"/>
          <w:szCs w:val="22"/>
        </w:rPr>
        <w:t xml:space="preserve">Runs via Google Gemini API — qualifies for MLH Gemma 4 prize track</w:t>
      </w:r>
    </w:p>
    <w:p>
      <w:pPr>
        <w:spacing w:after="0" w:before="240"/>
      </w:pPr>
      <w:r>
        <w:t xml:space="preserve"/>
      </w:r>
    </w:p>
    <w:p>
      <w:pPr>
        <w:pStyle w:val="Heading2"/>
        <w:spacing w:after="120" w:before="320"/>
      </w:pPr>
      <w:r>
        <w:rPr>
          <w:rFonts w:ascii="Arial" w:cs="Arial" w:eastAsia="Arial" w:hAnsi="Arial"/>
          <w:b/>
          <w:bCs/>
          <w:color w:val="2E86AB"/>
          <w:sz w:val="28"/>
          <w:szCs w:val="28"/>
        </w:rPr>
        <w:t xml:space="preserve">Google Vision API — Real Document Understanding</w:t>
      </w:r>
    </w:p>
    <w:p>
      <w:pPr>
        <w:spacing w:after="80" w:before="80"/>
      </w:pPr>
      <w:r>
        <w:rPr>
          <w:rFonts w:ascii="Arial" w:cs="Arial" w:eastAsia="Arial" w:hAnsi="Arial"/>
          <w:color w:val="2C3E50"/>
          <w:sz w:val="22"/>
          <w:szCs w:val="22"/>
        </w:rPr>
        <w:t xml:space="preserve">Google Vision does more than OCR here. It is the reason ClearConsent works on photographed documents — crumpled, angled, poorly lit — not just clean PDF uploads.</w:t>
      </w:r>
    </w:p>
    <w:p>
      <w:pPr>
        <w:spacing w:after="0" w:before="120"/>
      </w:pPr>
      <w:r>
        <w:t xml:space="preserve"/>
      </w:r>
    </w:p>
    <w:p>
      <w:pPr>
        <w:pStyle w:val="ListParagraph"/>
        <w:numPr>
          <w:ilvl w:val="0"/>
          <w:numId w:val="2"/>
        </w:numPr>
        <w:spacing w:after="60" w:before="60"/>
      </w:pPr>
      <w:r>
        <w:rPr>
          <w:rFonts w:ascii="Arial" w:cs="Arial" w:eastAsia="Arial" w:hAnsi="Arial"/>
          <w:color w:val="2C3E50"/>
          <w:sz w:val="22"/>
          <w:szCs w:val="22"/>
        </w:rPr>
        <w:t xml:space="preserve">Document text detection: full text extraction preserving reading order</w:t>
      </w:r>
    </w:p>
    <w:p>
      <w:pPr>
        <w:pStyle w:val="ListParagraph"/>
        <w:numPr>
          <w:ilvl w:val="0"/>
          <w:numId w:val="2"/>
        </w:numPr>
        <w:spacing w:after="60" w:before="60"/>
      </w:pPr>
      <w:r>
        <w:rPr>
          <w:rFonts w:ascii="Arial" w:cs="Arial" w:eastAsia="Arial" w:hAnsi="Arial"/>
          <w:color w:val="2C3E50"/>
          <w:sz w:val="22"/>
          <w:szCs w:val="22"/>
        </w:rPr>
        <w:t xml:space="preserve">Layout analysis: identifies paragraphs, columns, headers, and footers structurally</w:t>
      </w:r>
    </w:p>
    <w:p>
      <w:pPr>
        <w:pStyle w:val="ListParagraph"/>
        <w:numPr>
          <w:ilvl w:val="0"/>
          <w:numId w:val="2"/>
        </w:numPr>
        <w:spacing w:after="60" w:before="60"/>
      </w:pPr>
      <w:r>
        <w:rPr>
          <w:rFonts w:ascii="Arial" w:cs="Arial" w:eastAsia="Arial" w:hAnsi="Arial"/>
          <w:color w:val="2C3E50"/>
          <w:sz w:val="22"/>
          <w:szCs w:val="22"/>
        </w:rPr>
        <w:t xml:space="preserve">Form field detection: locates signature fields, checkboxes, initials boxes</w:t>
      </w:r>
    </w:p>
    <w:p>
      <w:pPr>
        <w:pStyle w:val="ListParagraph"/>
        <w:numPr>
          <w:ilvl w:val="0"/>
          <w:numId w:val="2"/>
        </w:numPr>
        <w:spacing w:after="60" w:before="60"/>
      </w:pPr>
      <w:r>
        <w:rPr>
          <w:rFonts w:ascii="Arial" w:cs="Arial" w:eastAsia="Arial" w:hAnsi="Arial"/>
          <w:color w:val="2C3E50"/>
          <w:sz w:val="22"/>
          <w:szCs w:val="22"/>
        </w:rPr>
        <w:t xml:space="preserve">Visual clause segmentation: groups text blocks into logical clause units before NLP processing</w:t>
      </w:r>
    </w:p>
    <w:p>
      <w:pPr>
        <w:pStyle w:val="ListParagraph"/>
        <w:numPr>
          <w:ilvl w:val="0"/>
          <w:numId w:val="2"/>
        </w:numPr>
        <w:spacing w:after="60" w:before="60"/>
      </w:pPr>
      <w:r>
        <w:rPr>
          <w:rFonts w:ascii="Arial" w:cs="Arial" w:eastAsia="Arial" w:hAnsi="Arial"/>
          <w:color w:val="2C3E50"/>
          <w:sz w:val="22"/>
          <w:szCs w:val="22"/>
        </w:rPr>
        <w:t xml:space="preserve">Confidence scoring: flags low-confidence extractions for user review</w:t>
      </w:r>
    </w:p>
    <w:p>
      <w:pPr>
        <w:spacing w:after="0" w:before="240"/>
      </w:pPr>
      <w:r>
        <w:t xml:space="preserve"/>
      </w:r>
    </w:p>
    <w:p>
      <w:pPr>
        <w:pStyle w:val="Heading2"/>
        <w:spacing w:after="120" w:before="320"/>
      </w:pPr>
      <w:r>
        <w:rPr>
          <w:rFonts w:ascii="Arial" w:cs="Arial" w:eastAsia="Arial" w:hAnsi="Arial"/>
          <w:b/>
          <w:bCs/>
          <w:color w:val="2E86AB"/>
          <w:sz w:val="28"/>
          <w:szCs w:val="28"/>
        </w:rPr>
        <w:t xml:space="preserve">Backboard API — Your Consent Vault</w:t>
      </w:r>
    </w:p>
    <w:p>
      <w:pPr>
        <w:pStyle w:val="ListParagraph"/>
        <w:numPr>
          <w:ilvl w:val="0"/>
          <w:numId w:val="2"/>
        </w:numPr>
        <w:spacing w:after="60" w:before="60"/>
      </w:pPr>
      <w:r>
        <w:rPr>
          <w:rFonts w:ascii="Arial" w:cs="Arial" w:eastAsia="Arial" w:hAnsi="Arial"/>
          <w:color w:val="2C3E50"/>
          <w:sz w:val="22"/>
          <w:szCs w:val="22"/>
        </w:rPr>
        <w:t xml:space="preserve">Every scanned document stored with timestamp, risk score, and flagged clauses</w:t>
      </w:r>
    </w:p>
    <w:p>
      <w:pPr>
        <w:pStyle w:val="ListParagraph"/>
        <w:numPr>
          <w:ilvl w:val="0"/>
          <w:numId w:val="2"/>
        </w:numPr>
        <w:spacing w:after="60" w:before="60"/>
      </w:pPr>
      <w:r>
        <w:rPr>
          <w:rFonts w:ascii="Arial" w:cs="Arial" w:eastAsia="Arial" w:hAnsi="Arial"/>
          <w:color w:val="2C3E50"/>
          <w:sz w:val="22"/>
          <w:szCs w:val="22"/>
        </w:rPr>
        <w:t xml:space="preserve">User can retrieve any past consent from any device</w:t>
      </w:r>
    </w:p>
    <w:p>
      <w:pPr>
        <w:pStyle w:val="ListParagraph"/>
        <w:numPr>
          <w:ilvl w:val="0"/>
          <w:numId w:val="2"/>
        </w:numPr>
        <w:spacing w:after="60" w:before="60"/>
      </w:pPr>
      <w:r>
        <w:rPr>
          <w:rFonts w:ascii="Arial" w:cs="Arial" w:eastAsia="Arial" w:hAnsi="Arial"/>
          <w:color w:val="2C3E50"/>
          <w:sz w:val="22"/>
          <w:szCs w:val="22"/>
        </w:rPr>
        <w:t xml:space="preserve">Longitudinal view: see how risk profiles of documents from the same institution change over time</w:t>
      </w:r>
    </w:p>
    <w:p>
      <w:pPr>
        <w:pStyle w:val="ListParagraph"/>
        <w:numPr>
          <w:ilvl w:val="0"/>
          <w:numId w:val="2"/>
        </w:numPr>
        <w:spacing w:after="60" w:before="60"/>
      </w:pPr>
      <w:r>
        <w:rPr>
          <w:rFonts w:ascii="Arial" w:cs="Arial" w:eastAsia="Arial" w:hAnsi="Arial"/>
          <w:color w:val="2C3E50"/>
          <w:sz w:val="22"/>
          <w:szCs w:val="22"/>
        </w:rPr>
        <w:t xml:space="preserve">Shareable reports: generate a link to share your analysis with a lawyer or trusted person</w:t>
      </w:r>
    </w:p>
    <w:p>
      <w:pPr>
        <w:spacing w:after="0" w:before="240"/>
      </w:pPr>
      <w:r>
        <w:t xml:space="preserve"/>
      </w:r>
    </w:p>
    <w:p>
      <w:pPr>
        <w:pStyle w:val="Heading2"/>
        <w:spacing w:after="120" w:before="320"/>
      </w:pPr>
      <w:r>
        <w:rPr>
          <w:rFonts w:ascii="Arial" w:cs="Arial" w:eastAsia="Arial" w:hAnsi="Arial"/>
          <w:b/>
          <w:bCs/>
          <w:color w:val="2E86AB"/>
          <w:sz w:val="28"/>
          <w:szCs w:val="28"/>
        </w:rPr>
        <w:t xml:space="preserve">DCP — Batch Processing at Scale</w:t>
      </w:r>
    </w:p>
    <w:p>
      <w:pPr>
        <w:pStyle w:val="ListParagraph"/>
        <w:numPr>
          <w:ilvl w:val="0"/>
          <w:numId w:val="2"/>
        </w:numPr>
        <w:spacing w:after="60" w:before="60"/>
      </w:pPr>
      <w:r>
        <w:rPr>
          <w:rFonts w:ascii="Arial" w:cs="Arial" w:eastAsia="Arial" w:hAnsi="Arial"/>
          <w:color w:val="2C3E50"/>
          <w:sz w:val="22"/>
          <w:szCs w:val="22"/>
        </w:rPr>
        <w:t xml:space="preserve">Multi-page documents dispatched as parallel jobs across DCP compute grid</w:t>
      </w:r>
    </w:p>
    <w:p>
      <w:pPr>
        <w:pStyle w:val="ListParagraph"/>
        <w:numPr>
          <w:ilvl w:val="0"/>
          <w:numId w:val="2"/>
        </w:numPr>
        <w:spacing w:after="60" w:before="60"/>
      </w:pPr>
      <w:r>
        <w:rPr>
          <w:rFonts w:ascii="Arial" w:cs="Arial" w:eastAsia="Arial" w:hAnsi="Arial"/>
          <w:color w:val="2C3E50"/>
          <w:sz w:val="22"/>
          <w:szCs w:val="22"/>
        </w:rPr>
        <w:t xml:space="preserve">Each page analyzed simultaneously instead of sequentially</w:t>
      </w:r>
    </w:p>
    <w:p>
      <w:pPr>
        <w:pStyle w:val="ListParagraph"/>
        <w:numPr>
          <w:ilvl w:val="0"/>
          <w:numId w:val="2"/>
        </w:numPr>
        <w:spacing w:after="60" w:before="60"/>
      </w:pPr>
      <w:r>
        <w:rPr>
          <w:rFonts w:ascii="Arial" w:cs="Arial" w:eastAsia="Arial" w:hAnsi="Arial"/>
          <w:color w:val="2C3E50"/>
          <w:sz w:val="22"/>
          <w:szCs w:val="22"/>
        </w:rPr>
        <w:t xml:space="preserve">Reduces processing time for a 20-page contract from ~40 seconds to ~4 seconds</w:t>
      </w:r>
    </w:p>
    <w:p>
      <w:pPr>
        <w:pStyle w:val="ListParagraph"/>
        <w:numPr>
          <w:ilvl w:val="0"/>
          <w:numId w:val="2"/>
        </w:numPr>
        <w:spacing w:after="60" w:before="60"/>
      </w:pPr>
      <w:r>
        <w:rPr>
          <w:rFonts w:ascii="Arial" w:cs="Arial" w:eastAsia="Arial" w:hAnsi="Arial"/>
          <w:color w:val="2C3E50"/>
          <w:sz w:val="22"/>
          <w:szCs w:val="22"/>
        </w:rPr>
        <w:t xml:space="preserve">Demo-able: show processing time comparison with and without DCP</w:t>
      </w:r>
    </w:p>
    <w:p>
      <w:r>
        <w:br w:type="page"/>
      </w:r>
    </w:p>
    <w:p>
      <w:pPr>
        <w:pStyle w:val="Heading1"/>
        <w:pBdr>
          <w:bottom w:val="single" w:color="2E86AB" w:sz="8" w:space="4"/>
        </w:pBdr>
        <w:spacing w:after="160" w:before="400"/>
      </w:pPr>
      <w:r>
        <w:rPr>
          <w:rFonts w:ascii="Arial" w:cs="Arial" w:eastAsia="Arial" w:hAnsi="Arial"/>
          <w:b/>
          <w:bCs/>
          <w:color w:val="1E3A5F"/>
          <w:sz w:val="36"/>
          <w:szCs w:val="36"/>
        </w:rPr>
        <w:t xml:space="preserve">Full Request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Arial" w:cs="Arial" w:eastAsia="Arial" w:hAnsi="Arial"/>
                <w:color w:val="2C3E50"/>
                <w:sz w:val="21"/>
                <w:szCs w:val="21"/>
              </w:rPr>
              <w:t xml:space="preserve">User photographs or uploads a consent form / legal document</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Frontend sends image or PDF to FastAPI backend</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Arial" w:cs="Arial" w:eastAsia="Arial" w:hAnsi="Arial"/>
                <w:color w:val="2C3E50"/>
                <w:sz w:val="21"/>
                <w:szCs w:val="21"/>
              </w:rPr>
              <w:t xml:space="preserve">Backend dispatches to Google Vision API — extracts text, layout, and field locations</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Vision output segmented into clause units and sent to custom DistilBERT model</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Arial" w:cs="Arial" w:eastAsia="Arial" w:hAnsi="Arial"/>
                <w:color w:val="2C3E50"/>
                <w:sz w:val="21"/>
                <w:szCs w:val="21"/>
              </w:rPr>
              <w:t xml:space="preserve">Model returns clause classifications with risk categories and confidence scores</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Flagged clauses passed to Gemma 4 — plain-language rewriting and risk score generation</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Arial" w:cs="Arial" w:eastAsia="Arial" w:hAnsi="Arial"/>
                <w:color w:val="2C3E50"/>
                <w:sz w:val="21"/>
                <w:szCs w:val="21"/>
              </w:rPr>
              <w:t xml:space="preserve">If multi-page: DCP dispatches parallel jobs per page, results aggregated</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Backend stores scan to Backboard — document history updated</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Arial" w:cs="Arial" w:eastAsia="Arial" w:hAnsi="Arial"/>
                <w:color w:val="2C3E50"/>
                <w:sz w:val="21"/>
                <w:szCs w:val="21"/>
              </w:rPr>
              <w:t xml:space="preserve">Full response returned to frontend: risk score, flagged clauses, plain-language summary</w:t>
            </w:r>
          </w:p>
        </w:tc>
      </w:tr>
      <w:tr>
        <w:tc>
          <w:tcPr>
            <w:tcBorders>
              <w:top w:val="single" w:color="BDC3C7" w:sz="1"/>
              <w:left w:val="single" w:color="BDC3C7" w:sz="1"/>
              <w:bottom w:val="single" w:color="BDC3C7" w:sz="1"/>
              <w:right w:val="single" w:color="BDC3C7"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2C3E50"/>
                <w:sz w:val="21"/>
                <w:szCs w:val="21"/>
              </w:rPr>
              <w:t xml:space="preserve">Frontend renders animated risk dashboard — user sees results in under 5 seconds</w:t>
            </w:r>
          </w:p>
        </w:tc>
      </w:tr>
    </w:tbl>
    <w:p>
      <w:pPr>
        <w:spacing w:after="0" w:before="240"/>
      </w:pPr>
      <w:r>
        <w:t xml:space="preserve"/>
      </w:r>
    </w:p>
    <w:p>
      <w:pPr>
        <w:pStyle w:val="Heading1"/>
        <w:pBdr>
          <w:bottom w:val="single" w:color="2E86AB" w:sz="8" w:space="4"/>
        </w:pBdr>
        <w:spacing w:after="160" w:before="400"/>
      </w:pPr>
      <w:r>
        <w:rPr>
          <w:rFonts w:ascii="Arial" w:cs="Arial" w:eastAsia="Arial" w:hAnsi="Arial"/>
          <w:b/>
          <w:bCs/>
          <w:color w:val="1E3A5F"/>
          <w:sz w:val="36"/>
          <w:szCs w:val="36"/>
        </w:rPr>
        <w:t xml:space="preserve">UI/UX Design — Winning the Design Track</w:t>
      </w:r>
    </w:p>
    <w:p>
      <w:pPr>
        <w:spacing w:after="80" w:before="80"/>
      </w:pPr>
      <w:r>
        <w:rPr>
          <w:rFonts w:ascii="Arial" w:cs="Arial" w:eastAsia="Arial" w:hAnsi="Arial"/>
          <w:color w:val="2C3E50"/>
          <w:sz w:val="22"/>
          <w:szCs w:val="22"/>
        </w:rPr>
        <w:t xml:space="preserve">The UI is where ClearConsent wins the design prize. Every screen is built around one principle: make something terrifying feel manageable. Legal documents are anxiety-inducing. The interface converts that anxiety into clarity.</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Screen 1 — Upload</w:t>
      </w:r>
    </w:p>
    <w:p>
      <w:pPr>
        <w:pStyle w:val="ListParagraph"/>
        <w:numPr>
          <w:ilvl w:val="0"/>
          <w:numId w:val="2"/>
        </w:numPr>
        <w:spacing w:after="60" w:before="60"/>
      </w:pPr>
      <w:r>
        <w:rPr>
          <w:rFonts w:ascii="Arial" w:cs="Arial" w:eastAsia="Arial" w:hAnsi="Arial"/>
          <w:color w:val="2C3E50"/>
          <w:sz w:val="22"/>
          <w:szCs w:val="22"/>
        </w:rPr>
        <w:t xml:space="preserve">Full-bleed drag-and-drop zone with subtle animated border</w:t>
      </w:r>
    </w:p>
    <w:p>
      <w:pPr>
        <w:pStyle w:val="ListParagraph"/>
        <w:numPr>
          <w:ilvl w:val="0"/>
          <w:numId w:val="2"/>
        </w:numPr>
        <w:spacing w:after="60" w:before="60"/>
      </w:pPr>
      <w:r>
        <w:rPr>
          <w:rFonts w:ascii="Arial" w:cs="Arial" w:eastAsia="Arial" w:hAnsi="Arial"/>
          <w:color w:val="2C3E50"/>
          <w:sz w:val="22"/>
          <w:szCs w:val="22"/>
        </w:rPr>
        <w:t xml:space="preserve">Camera capture button for mobile — photograph a physical document directly</w:t>
      </w:r>
    </w:p>
    <w:p>
      <w:pPr>
        <w:pStyle w:val="ListParagraph"/>
        <w:numPr>
          <w:ilvl w:val="0"/>
          <w:numId w:val="2"/>
        </w:numPr>
        <w:spacing w:after="60" w:before="60"/>
      </w:pPr>
      <w:r>
        <w:rPr>
          <w:rFonts w:ascii="Arial" w:cs="Arial" w:eastAsia="Arial" w:hAnsi="Arial"/>
          <w:color w:val="2C3E50"/>
          <w:sz w:val="22"/>
          <w:szCs w:val="22"/>
        </w:rPr>
        <w:t xml:space="preserve">Supported formats clearly listed: PDF, JPG, PNG, HEIC</w:t>
      </w:r>
    </w:p>
    <w:p>
      <w:pPr>
        <w:pStyle w:val="ListParagraph"/>
        <w:numPr>
          <w:ilvl w:val="0"/>
          <w:numId w:val="2"/>
        </w:numPr>
        <w:spacing w:after="60" w:before="60"/>
      </w:pPr>
      <w:r>
        <w:rPr>
          <w:rFonts w:ascii="Arial" w:cs="Arial" w:eastAsia="Arial" w:hAnsi="Arial"/>
          <w:color w:val="2C3E50"/>
          <w:sz w:val="22"/>
          <w:szCs w:val="22"/>
        </w:rPr>
        <w:t xml:space="preserve">Processing animation shows each pipeline step in real time: Analyzing layout... Classifying clauses... Generating summary...</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Screen 2 — Risk Dashboard</w:t>
      </w:r>
    </w:p>
    <w:p>
      <w:pPr>
        <w:pStyle w:val="ListParagraph"/>
        <w:numPr>
          <w:ilvl w:val="0"/>
          <w:numId w:val="2"/>
        </w:numPr>
        <w:spacing w:after="60" w:before="60"/>
      </w:pPr>
      <w:r>
        <w:rPr>
          <w:rFonts w:ascii="Arial" w:cs="Arial" w:eastAsia="Arial" w:hAnsi="Arial"/>
          <w:color w:val="2C3E50"/>
          <w:sz w:val="22"/>
          <w:szCs w:val="22"/>
        </w:rPr>
        <w:t xml:space="preserve">Large animated risk score dial: 0–100, color-coded Green / Yellow / Orange / Red</w:t>
      </w:r>
    </w:p>
    <w:p>
      <w:pPr>
        <w:pStyle w:val="ListParagraph"/>
        <w:numPr>
          <w:ilvl w:val="0"/>
          <w:numId w:val="2"/>
        </w:numPr>
        <w:spacing w:after="60" w:before="60"/>
      </w:pPr>
      <w:r>
        <w:rPr>
          <w:rFonts w:ascii="Arial" w:cs="Arial" w:eastAsia="Arial" w:hAnsi="Arial"/>
          <w:color w:val="2C3E50"/>
          <w:sz w:val="22"/>
          <w:szCs w:val="22"/>
        </w:rPr>
        <w:t xml:space="preserve">Score animates upward on load — visceral, memorable, immediately understood</w:t>
      </w:r>
    </w:p>
    <w:p>
      <w:pPr>
        <w:pStyle w:val="ListParagraph"/>
        <w:numPr>
          <w:ilvl w:val="0"/>
          <w:numId w:val="2"/>
        </w:numPr>
        <w:spacing w:after="60" w:before="60"/>
      </w:pPr>
      <w:r>
        <w:rPr>
          <w:rFonts w:ascii="Arial" w:cs="Arial" w:eastAsia="Arial" w:hAnsi="Arial"/>
          <w:color w:val="2C3E50"/>
          <w:sz w:val="22"/>
          <w:szCs w:val="22"/>
        </w:rPr>
        <w:t xml:space="preserve">Three most critical clauses surfaced front and center with severity badges</w:t>
      </w:r>
    </w:p>
    <w:p>
      <w:pPr>
        <w:pStyle w:val="ListParagraph"/>
        <w:numPr>
          <w:ilvl w:val="0"/>
          <w:numId w:val="2"/>
        </w:numPr>
        <w:spacing w:after="60" w:before="60"/>
      </w:pPr>
      <w:r>
        <w:rPr>
          <w:rFonts w:ascii="Arial" w:cs="Arial" w:eastAsia="Arial" w:hAnsi="Arial"/>
          <w:color w:val="2C3E50"/>
          <w:sz w:val="22"/>
          <w:szCs w:val="22"/>
        </w:rPr>
        <w:t xml:space="preserve">Each clause card shows: original legal text | plain-language translation | risk category | severity</w:t>
      </w:r>
    </w:p>
    <w:p>
      <w:pPr>
        <w:pStyle w:val="ListParagraph"/>
        <w:numPr>
          <w:ilvl w:val="0"/>
          <w:numId w:val="2"/>
        </w:numPr>
        <w:spacing w:after="60" w:before="60"/>
      </w:pPr>
      <w:r>
        <w:rPr>
          <w:rFonts w:ascii="Arial" w:cs="Arial" w:eastAsia="Arial" w:hAnsi="Arial"/>
          <w:color w:val="2C3E50"/>
          <w:sz w:val="22"/>
          <w:szCs w:val="22"/>
        </w:rPr>
        <w:t xml:space="preserve">Expandable full clause list below the fold</w:t>
      </w:r>
    </w:p>
    <w:p>
      <w:pPr>
        <w:pStyle w:val="ListParagraph"/>
        <w:numPr>
          <w:ilvl w:val="0"/>
          <w:numId w:val="2"/>
        </w:numPr>
        <w:spacing w:after="60" w:before="60"/>
      </w:pPr>
      <w:r>
        <w:rPr>
          <w:rFonts w:ascii="Arial" w:cs="Arial" w:eastAsia="Arial" w:hAnsi="Arial"/>
          <w:color w:val="2C3E50"/>
          <w:sz w:val="22"/>
          <w:szCs w:val="22"/>
        </w:rPr>
        <w:t xml:space="preserve">'What this means for you' section — Gemma 4 generated, conversational tone</w:t>
      </w:r>
    </w:p>
    <w:p>
      <w:pPr>
        <w:pStyle w:val="ListParagraph"/>
        <w:numPr>
          <w:ilvl w:val="0"/>
          <w:numId w:val="2"/>
        </w:numPr>
        <w:spacing w:after="60" w:before="60"/>
      </w:pPr>
      <w:r>
        <w:rPr>
          <w:rFonts w:ascii="Arial" w:cs="Arial" w:eastAsia="Arial" w:hAnsi="Arial"/>
          <w:color w:val="2C3E50"/>
          <w:sz w:val="22"/>
          <w:szCs w:val="22"/>
        </w:rPr>
        <w:t xml:space="preserve">One-tap 'Save to Vault' button — hits Backboard instantly</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Screen 3 — Consent Vault (Backboard)</w:t>
      </w:r>
    </w:p>
    <w:p>
      <w:pPr>
        <w:pStyle w:val="ListParagraph"/>
        <w:numPr>
          <w:ilvl w:val="0"/>
          <w:numId w:val="2"/>
        </w:numPr>
        <w:spacing w:after="60" w:before="60"/>
      </w:pPr>
      <w:r>
        <w:rPr>
          <w:rFonts w:ascii="Arial" w:cs="Arial" w:eastAsia="Arial" w:hAnsi="Arial"/>
          <w:color w:val="2C3E50"/>
          <w:sz w:val="22"/>
          <w:szCs w:val="22"/>
        </w:rPr>
        <w:t xml:space="preserve">Timeline view of all previously scanned documents</w:t>
      </w:r>
    </w:p>
    <w:p>
      <w:pPr>
        <w:pStyle w:val="ListParagraph"/>
        <w:numPr>
          <w:ilvl w:val="0"/>
          <w:numId w:val="2"/>
        </w:numPr>
        <w:spacing w:after="60" w:before="60"/>
      </w:pPr>
      <w:r>
        <w:rPr>
          <w:rFonts w:ascii="Arial" w:cs="Arial" w:eastAsia="Arial" w:hAnsi="Arial"/>
          <w:color w:val="2C3E50"/>
          <w:sz w:val="22"/>
          <w:szCs w:val="22"/>
        </w:rPr>
        <w:t xml:space="preserve">Each entry shows document name, scan date, risk score, and top flag</w:t>
      </w:r>
    </w:p>
    <w:p>
      <w:pPr>
        <w:pStyle w:val="ListParagraph"/>
        <w:numPr>
          <w:ilvl w:val="0"/>
          <w:numId w:val="2"/>
        </w:numPr>
        <w:spacing w:after="60" w:before="60"/>
      </w:pPr>
      <w:r>
        <w:rPr>
          <w:rFonts w:ascii="Arial" w:cs="Arial" w:eastAsia="Arial" w:hAnsi="Arial"/>
          <w:color w:val="2C3E50"/>
          <w:sz w:val="22"/>
          <w:szCs w:val="22"/>
        </w:rPr>
        <w:t xml:space="preserve">Filter by risk level, document type, date range</w:t>
      </w:r>
    </w:p>
    <w:p>
      <w:pPr>
        <w:pStyle w:val="ListParagraph"/>
        <w:numPr>
          <w:ilvl w:val="0"/>
          <w:numId w:val="2"/>
        </w:numPr>
        <w:spacing w:after="60" w:before="60"/>
      </w:pPr>
      <w:r>
        <w:rPr>
          <w:rFonts w:ascii="Arial" w:cs="Arial" w:eastAsia="Arial" w:hAnsi="Arial"/>
          <w:color w:val="2C3E50"/>
          <w:sz w:val="22"/>
          <w:szCs w:val="22"/>
        </w:rPr>
        <w:t xml:space="preserve">Shareable report link generation</w:t>
      </w:r>
    </w:p>
    <w:p>
      <w:pPr>
        <w:pStyle w:val="ListParagraph"/>
        <w:numPr>
          <w:ilvl w:val="0"/>
          <w:numId w:val="2"/>
        </w:numPr>
        <w:spacing w:after="60" w:before="60"/>
      </w:pPr>
      <w:r>
        <w:rPr>
          <w:rFonts w:ascii="Arial" w:cs="Arial" w:eastAsia="Arial" w:hAnsi="Arial"/>
          <w:color w:val="2C3E50"/>
          <w:sz w:val="22"/>
          <w:szCs w:val="22"/>
        </w:rPr>
        <w:t xml:space="preserve">Risk score comparison across documents from the same institution</w:t>
      </w:r>
    </w:p>
    <w:p>
      <w:pPr>
        <w:spacing w:after="0" w:before="160"/>
      </w:pPr>
      <w:r>
        <w:t xml:space="preserve"/>
      </w:r>
    </w:p>
    <w:p>
      <w:pPr>
        <w:pStyle w:val="Heading2"/>
        <w:spacing w:after="120" w:before="320"/>
      </w:pPr>
      <w:r>
        <w:rPr>
          <w:rFonts w:ascii="Arial" w:cs="Arial" w:eastAsia="Arial" w:hAnsi="Arial"/>
          <w:b/>
          <w:bCs/>
          <w:color w:val="2E86AB"/>
          <w:sz w:val="28"/>
          <w:szCs w:val="28"/>
        </w:rPr>
        <w:t xml:space="preserve">Design Principles</w:t>
      </w:r>
    </w:p>
    <w:p>
      <w:pPr>
        <w:pStyle w:val="ListParagraph"/>
        <w:numPr>
          <w:ilvl w:val="0"/>
          <w:numId w:val="2"/>
        </w:numPr>
        <w:spacing w:after="60" w:before="60"/>
      </w:pPr>
      <w:r>
        <w:rPr>
          <w:rFonts w:ascii="Arial" w:cs="Arial" w:eastAsia="Arial" w:hAnsi="Arial"/>
          <w:color w:val="2C3E50"/>
          <w:sz w:val="22"/>
          <w:szCs w:val="22"/>
        </w:rPr>
        <w:t xml:space="preserve">Color system: Green (#1A7A4A) = safe, Yellow (#F39C12) = caution, Orange (#E67E22) = warning, Red (#C0392B) = critical</w:t>
      </w:r>
    </w:p>
    <w:p>
      <w:pPr>
        <w:pStyle w:val="ListParagraph"/>
        <w:numPr>
          <w:ilvl w:val="0"/>
          <w:numId w:val="2"/>
        </w:numPr>
        <w:spacing w:after="60" w:before="60"/>
      </w:pPr>
      <w:r>
        <w:rPr>
          <w:rFonts w:ascii="Arial" w:cs="Arial" w:eastAsia="Arial" w:hAnsi="Arial"/>
          <w:color w:val="2C3E50"/>
          <w:sz w:val="22"/>
          <w:szCs w:val="22"/>
        </w:rPr>
        <w:t xml:space="preserve">Typography: Inter for UI, monospace for legal clause text — visual contrast signals 'this is the dangerous part'</w:t>
      </w:r>
    </w:p>
    <w:p>
      <w:pPr>
        <w:pStyle w:val="ListParagraph"/>
        <w:numPr>
          <w:ilvl w:val="0"/>
          <w:numId w:val="2"/>
        </w:numPr>
        <w:spacing w:after="60" w:before="60"/>
      </w:pPr>
      <w:r>
        <w:rPr>
          <w:rFonts w:ascii="Arial" w:cs="Arial" w:eastAsia="Arial" w:hAnsi="Arial"/>
          <w:color w:val="2C3E50"/>
          <w:sz w:val="22"/>
          <w:szCs w:val="22"/>
        </w:rPr>
        <w:t xml:space="preserve">Motion: Framer Motion for score dial animation, clause card reveals, and vault timeline</w:t>
      </w:r>
    </w:p>
    <w:p>
      <w:pPr>
        <w:pStyle w:val="ListParagraph"/>
        <w:numPr>
          <w:ilvl w:val="0"/>
          <w:numId w:val="2"/>
        </w:numPr>
        <w:spacing w:after="60" w:before="60"/>
      </w:pPr>
      <w:r>
        <w:rPr>
          <w:rFonts w:ascii="Arial" w:cs="Arial" w:eastAsia="Arial" w:hAnsi="Arial"/>
          <w:color w:val="2C3E50"/>
          <w:sz w:val="22"/>
          <w:szCs w:val="22"/>
        </w:rPr>
        <w:t xml:space="preserve">Mobile-first: the primary use case is someone holding a document, photographing it on their phone</w:t>
      </w:r>
    </w:p>
    <w:p>
      <w:r>
        <w:br w:type="page"/>
      </w:r>
    </w:p>
    <w:p>
      <w:pPr>
        <w:pStyle w:val="Heading1"/>
        <w:pBdr>
          <w:bottom w:val="single" w:color="2E86AB" w:sz="8" w:space="4"/>
        </w:pBdr>
        <w:spacing w:after="160" w:before="400"/>
      </w:pPr>
      <w:r>
        <w:rPr>
          <w:rFonts w:ascii="Arial" w:cs="Arial" w:eastAsia="Arial" w:hAnsi="Arial"/>
          <w:b/>
          <w:bCs/>
          <w:color w:val="1E3A5F"/>
          <w:sz w:val="36"/>
          <w:szCs w:val="36"/>
        </w:rPr>
        <w:t xml:space="preserve">Team &amp; Execution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ML Engineer</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~3 hrs</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Fine-tune custom model, Gemma 4 integration, model serving via FastAPI</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Backend Engineer</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~3 hrs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Vision API pipeline, DCP job dispatch, Backboard API, REST endpoints</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6A1B9A"/>
                <w:sz w:val="20"/>
                <w:szCs w:val="20"/>
              </w:rPr>
              <w:t xml:space="preserve">Frontend Engineer</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~3 hrs</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Next.js UI, Framer Motion animations, risk score dashboard, Devpost polish</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Business Lead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~3 hrs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Devpost writeup, demo video filming/editing, prize track opt-ins, judge Q&amp;A prep</w:t>
            </w:r>
          </w:p>
        </w:tc>
      </w:tr>
    </w:tbl>
    <w:p>
      <w:pPr>
        <w:spacing w:after="0" w:before="240"/>
      </w:pPr>
      <w:r>
        <w:t xml:space="preserve"/>
      </w:r>
    </w:p>
    <w:p>
      <w:pPr>
        <w:pStyle w:val="Heading2"/>
        <w:spacing w:after="120" w:before="320"/>
      </w:pPr>
      <w:r>
        <w:rPr>
          <w:rFonts w:ascii="Arial" w:cs="Arial" w:eastAsia="Arial" w:hAnsi="Arial"/>
          <w:b/>
          <w:bCs/>
          <w:color w:val="2E86AB"/>
          <w:sz w:val="28"/>
          <w:szCs w:val="28"/>
        </w:rPr>
        <w:t xml:space="preserve">Hour-by-Hour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0–1h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ALL</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Repo setup, API keys, environment, assign tasks, confirm dataset download</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1–3h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ML</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Download clause dataset, fine-tune DistilBERT/Gemma 4, export model</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1–3h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Google Vision API document parsing pipeline, text + layout extraction</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1–3h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UI layout, upload flow, loading states, risk score skeleton</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3–5h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ML + Backend</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Connect model inference to backend, clause flagging endpoint live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3–5h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Risk score card UI, clause highlight overlay, animation pass</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5–7h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Backboard integration, DCP batch processing, document history API</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5–7h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History dashboard, mobile responsiveness, UI/UX polish</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7–8h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ALL</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Full end-to-end testing, bug fixes, edge cases</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E86AB"/>
                <w:sz w:val="20"/>
                <w:szCs w:val="20"/>
              </w:rPr>
              <w:t xml:space="preserve">8–9h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Business</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Demo video filming, Devpost writeup, prize track opt-ins</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E86AB"/>
                <w:sz w:val="20"/>
                <w:szCs w:val="20"/>
              </w:rPr>
              <w:t xml:space="preserve">9–10h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ALL</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Final polish, deployment, practice demo pitch</w:t>
            </w:r>
          </w:p>
        </w:tc>
      </w:tr>
    </w:tbl>
    <w:p>
      <w:pPr>
        <w:spacing w:after="0" w:before="240"/>
      </w:pPr>
      <w:r>
        <w:t xml:space="preserve"/>
      </w:r>
    </w:p>
    <w:p>
      <w:pPr>
        <w:pStyle w:val="Heading1"/>
        <w:pBdr>
          <w:bottom w:val="single" w:color="2E86AB" w:sz="8" w:space="4"/>
        </w:pBdr>
        <w:spacing w:after="160" w:before="400"/>
      </w:pPr>
      <w:r>
        <w:rPr>
          <w:rFonts w:ascii="Arial" w:cs="Arial" w:eastAsia="Arial" w:hAnsi="Arial"/>
          <w:b/>
          <w:bCs/>
          <w:color w:val="1E3A5F"/>
          <w:sz w:val="36"/>
          <w:szCs w:val="36"/>
        </w:rPr>
        <w:t xml:space="preserve">Demo Video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Demo Video is a prize track. Treat it as a deliverable, not an afterthought.</w:t>
            </w:r>
          </w:p>
        </w:tc>
      </w:tr>
      <w:tr>
        <w:tc>
          <w:tcPr>
            <w:tcBorders>
              <w:top w:val="single" w:color="BDC3C7" w:sz="1"/>
              <w:left w:val="single" w:color="BDC3C7" w:sz="1"/>
              <w:bottom w:val="single" w:color="BDC3C7" w:sz="1"/>
              <w:right w:val="single" w:color="BDC3C7" w:sz="1"/>
            </w:tcBorders>
            <w:shd w:fill="D6EAF8" w:val="clear"/>
            <w:tcMar>
              <w:top w:type="dxa" w:w="120"/>
              <w:left w:type="dxa" w:w="160"/>
              <w:bottom w:type="dxa" w:w="120"/>
              <w:right w:type="dxa" w:w="160"/>
            </w:tcMar>
          </w:tcPr>
          <w:p>
            <w:r>
              <w:rPr>
                <w:rFonts w:ascii="Arial" w:cs="Arial" w:eastAsia="Arial" w:hAnsi="Arial"/>
                <w:color w:val="2C3E50"/>
                <w:sz w:val="21"/>
                <w:szCs w:val="21"/>
              </w:rPr>
              <w:t xml:space="preserve">The business team member owns this entirely. Filming starts at hour 8. Target runtime: 90 seconds. Every second is scripted.</w:t>
            </w:r>
          </w:p>
        </w:tc>
      </w:tr>
    </w:tbl>
    <w:p>
      <w:pPr>
        <w:spacing w:after="0" w:before="160"/>
      </w:pPr>
      <w:r>
        <w:t xml:space="preserve"/>
      </w:r>
    </w:p>
    <w:p>
      <w:pPr>
        <w:pStyle w:val="Heading2"/>
        <w:spacing w:after="120" w:before="320"/>
      </w:pPr>
      <w:r>
        <w:rPr>
          <w:rFonts w:ascii="Arial" w:cs="Arial" w:eastAsia="Arial" w:hAnsi="Arial"/>
          <w:b/>
          <w:bCs/>
          <w:color w:val="2E86AB"/>
          <w:sz w:val="28"/>
          <w:szCs w:val="28"/>
        </w:rPr>
        <w:t xml:space="preserve">Script</w:t>
      </w:r>
    </w:p>
    <w:p>
      <w:pPr>
        <w:pStyle w:val="ListParagraph"/>
        <w:numPr>
          <w:ilvl w:val="0"/>
          <w:numId w:val="2"/>
        </w:numPr>
        <w:spacing w:after="60" w:before="60"/>
      </w:pPr>
      <w:r>
        <w:rPr>
          <w:rFonts w:ascii="Arial" w:cs="Arial" w:eastAsia="Arial" w:hAnsi="Arial"/>
          <w:color w:val="2C3E50"/>
          <w:sz w:val="22"/>
          <w:szCs w:val="22"/>
        </w:rPr>
        <w:t xml:space="preserve">00:00 — Open on a close-up of a dense legal document. Voice over: 'You've signed hundreds of these. You've read zero of them.'</w:t>
      </w:r>
    </w:p>
    <w:p>
      <w:pPr>
        <w:pStyle w:val="ListParagraph"/>
        <w:numPr>
          <w:ilvl w:val="0"/>
          <w:numId w:val="2"/>
        </w:numPr>
        <w:spacing w:after="60" w:before="60"/>
      </w:pPr>
      <w:r>
        <w:rPr>
          <w:rFonts w:ascii="Arial" w:cs="Arial" w:eastAsia="Arial" w:hAnsi="Arial"/>
          <w:color w:val="2C3E50"/>
          <w:sz w:val="22"/>
          <w:szCs w:val="22"/>
        </w:rPr>
        <w:t xml:space="preserve">00:08 — Cut to someone photographing a hospital consent form with their phone</w:t>
      </w:r>
    </w:p>
    <w:p>
      <w:pPr>
        <w:pStyle w:val="ListParagraph"/>
        <w:numPr>
          <w:ilvl w:val="0"/>
          <w:numId w:val="2"/>
        </w:numPr>
        <w:spacing w:after="60" w:before="60"/>
      </w:pPr>
      <w:r>
        <w:rPr>
          <w:rFonts w:ascii="Arial" w:cs="Arial" w:eastAsia="Arial" w:hAnsi="Arial"/>
          <w:color w:val="2C3E50"/>
          <w:sz w:val="22"/>
          <w:szCs w:val="22"/>
        </w:rPr>
        <w:t xml:space="preserve">00:12 — ClearConsent UI appears. Processing animation runs. Pipeline steps flash: Analyzing... Classifying... Generating...</w:t>
      </w:r>
    </w:p>
    <w:p>
      <w:pPr>
        <w:pStyle w:val="ListParagraph"/>
        <w:numPr>
          <w:ilvl w:val="0"/>
          <w:numId w:val="2"/>
        </w:numPr>
        <w:spacing w:after="60" w:before="60"/>
      </w:pPr>
      <w:r>
        <w:rPr>
          <w:rFonts w:ascii="Arial" w:cs="Arial" w:eastAsia="Arial" w:hAnsi="Arial"/>
          <w:color w:val="2C3E50"/>
          <w:sz w:val="22"/>
          <w:szCs w:val="22"/>
        </w:rPr>
        <w:t xml:space="preserve">00:18 — Risk score dial animates to 74 out of 100 — RED. Audible reaction.</w:t>
      </w:r>
    </w:p>
    <w:p>
      <w:pPr>
        <w:pStyle w:val="ListParagraph"/>
        <w:numPr>
          <w:ilvl w:val="0"/>
          <w:numId w:val="2"/>
        </w:numPr>
        <w:spacing w:after="60" w:before="60"/>
      </w:pPr>
      <w:r>
        <w:rPr>
          <w:rFonts w:ascii="Arial" w:cs="Arial" w:eastAsia="Arial" w:hAnsi="Arial"/>
          <w:color w:val="2C3E50"/>
          <w:sz w:val="22"/>
          <w:szCs w:val="22"/>
        </w:rPr>
        <w:t xml:space="preserve">00:22 — Zoom into top flagged clause: 'You waive the right to pursue legal action.' Plain-language translation appears below.</w:t>
      </w:r>
    </w:p>
    <w:p>
      <w:pPr>
        <w:pStyle w:val="ListParagraph"/>
        <w:numPr>
          <w:ilvl w:val="0"/>
          <w:numId w:val="2"/>
        </w:numPr>
        <w:spacing w:after="60" w:before="60"/>
      </w:pPr>
      <w:r>
        <w:rPr>
          <w:rFonts w:ascii="Arial" w:cs="Arial" w:eastAsia="Arial" w:hAnsi="Arial"/>
          <w:color w:val="2C3E50"/>
          <w:sz w:val="22"/>
          <w:szCs w:val="22"/>
        </w:rPr>
        <w:t xml:space="preserve">00:30 — Scroll through three critical flags. Each one lands.</w:t>
      </w:r>
    </w:p>
    <w:p>
      <w:pPr>
        <w:pStyle w:val="ListParagraph"/>
        <w:numPr>
          <w:ilvl w:val="0"/>
          <w:numId w:val="2"/>
        </w:numPr>
        <w:spacing w:after="60" w:before="60"/>
      </w:pPr>
      <w:r>
        <w:rPr>
          <w:rFonts w:ascii="Arial" w:cs="Arial" w:eastAsia="Arial" w:hAnsi="Arial"/>
          <w:color w:val="2C3E50"/>
          <w:sz w:val="22"/>
          <w:szCs w:val="22"/>
        </w:rPr>
        <w:t xml:space="preserve">00:42 — Cut to the Consent Vault — previous scans visible, risk scores over time</w:t>
      </w:r>
    </w:p>
    <w:p>
      <w:pPr>
        <w:pStyle w:val="ListParagraph"/>
        <w:numPr>
          <w:ilvl w:val="0"/>
          <w:numId w:val="2"/>
        </w:numPr>
        <w:spacing w:after="60" w:before="60"/>
      </w:pPr>
      <w:r>
        <w:rPr>
          <w:rFonts w:ascii="Arial" w:cs="Arial" w:eastAsia="Arial" w:hAnsi="Arial"/>
          <w:color w:val="2C3E50"/>
          <w:sz w:val="22"/>
          <w:szCs w:val="22"/>
        </w:rPr>
        <w:t xml:space="preserve">00:50 — Cut to batch processing demo: 20-page contract, DCP processes all pages simultaneously</w:t>
      </w:r>
    </w:p>
    <w:p>
      <w:pPr>
        <w:pStyle w:val="ListParagraph"/>
        <w:numPr>
          <w:ilvl w:val="0"/>
          <w:numId w:val="2"/>
        </w:numPr>
        <w:spacing w:after="60" w:before="60"/>
      </w:pPr>
      <w:r>
        <w:rPr>
          <w:rFonts w:ascii="Arial" w:cs="Arial" w:eastAsia="Arial" w:hAnsi="Arial"/>
          <w:color w:val="2C3E50"/>
          <w:sz w:val="22"/>
          <w:szCs w:val="22"/>
        </w:rPr>
        <w:t xml:space="preserve">01:00 — Final screen. Risk score. Product name. Tagline: 'Know what you sign.'</w:t>
      </w:r>
    </w:p>
    <w:p>
      <w:pPr>
        <w:pStyle w:val="ListParagraph"/>
        <w:numPr>
          <w:ilvl w:val="0"/>
          <w:numId w:val="2"/>
        </w:numPr>
        <w:spacing w:after="60" w:before="60"/>
      </w:pPr>
      <w:r>
        <w:rPr>
          <w:rFonts w:ascii="Arial" w:cs="Arial" w:eastAsia="Arial" w:hAnsi="Arial"/>
          <w:color w:val="2C3E50"/>
          <w:sz w:val="22"/>
          <w:szCs w:val="22"/>
        </w:rPr>
        <w:t xml:space="preserve">01:10 — Team name and Devpost link</w:t>
      </w:r>
    </w:p>
    <w:p>
      <w:pPr>
        <w:spacing w:after="0" w:before="240"/>
      </w:pPr>
      <w:r>
        <w:t xml:space="preserve"/>
      </w:r>
    </w:p>
    <w:p>
      <w:pPr>
        <w:pStyle w:val="Heading1"/>
        <w:pBdr>
          <w:bottom w:val="single" w:color="2E86AB" w:sz="8" w:space="4"/>
        </w:pBdr>
        <w:spacing w:after="160" w:before="400"/>
      </w:pPr>
      <w:r>
        <w:rPr>
          <w:rFonts w:ascii="Arial" w:cs="Arial" w:eastAsia="Arial" w:hAnsi="Arial"/>
          <w:b/>
          <w:bCs/>
          <w:color w:val="1E3A5F"/>
          <w:sz w:val="36"/>
          <w:szCs w:val="36"/>
        </w:rPr>
        <w:t xml:space="preserve">Prize Track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Prize</w:t>
            </w:r>
          </w:p>
        </w:tc>
        <w:tc>
          <w:tcPr>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You Win It</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 1st Place</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7A4A"/>
                <w:sz w:val="20"/>
                <w:szCs w:val="20"/>
              </w:rPr>
              <w:t xml:space="preserve">$3,000 cash + Nintendo Switch 2</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Strongest overall execution, most impactful product, clearest break-the-norm narrative</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Google Vision</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$850 cash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document layout analysis, field detection, visual clause extraction — not just OCR</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 Best UI/UX</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7A4A"/>
                <w:sz w:val="20"/>
                <w:szCs w:val="20"/>
              </w:rPr>
              <w:t xml:space="preserve">$700 cash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Risk score dashboard, animated clause cards, color-coded severity system</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Best Demo Video</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$100 GC</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Live consent form scan, real-time clause flagging, emotional narrative around signing blindly</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 Backboard API</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7A4A"/>
                <w:sz w:val="20"/>
                <w:szCs w:val="20"/>
              </w:rPr>
              <w:t xml:space="preserve">$250 cash</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Consent history vault, longitudinal tracking, cross-device document retrieval</w:t>
            </w:r>
          </w:p>
        </w:tc>
      </w:tr>
      <w:tr>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 Best Use of DCP</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$660 cash</w:t>
            </w:r>
          </w:p>
        </w:tc>
        <w:tc>
          <w:tcPr>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Batch processing of multi-page legal documents, parallel clause analysis</w:t>
            </w:r>
          </w:p>
        </w:tc>
      </w:tr>
      <w:tr>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 MLH Gemma 4</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7A4A"/>
                <w:sz w:val="20"/>
                <w:szCs w:val="20"/>
              </w:rPr>
              <w:t xml:space="preserve">Google Swag</w:t>
            </w:r>
          </w:p>
        </w:tc>
        <w:tc>
          <w:tcPr>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color w:val="2C3E50"/>
                <w:sz w:val="20"/>
                <w:szCs w:val="20"/>
              </w:rPr>
              <w:t xml:space="preserve">On-device clause reasoning, privacy-first — data never leaves device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8"/>
              <w:left w:val="single" w:color="1A7A4A" w:sz="8"/>
              <w:bottom w:val="single" w:color="1A7A4A" w:sz="8"/>
              <w:right w:val="single" w:color="1A7A4A" w:sz="8"/>
            </w:tcBorders>
            <w:shd w:fill="EAFAF1" w:val="clear"/>
            <w:tcMar>
              <w:top w:type="dxa" w:w="200"/>
              <w:left w:type="dxa" w:w="240"/>
              <w:bottom w:type="dxa" w:w="200"/>
              <w:right w:type="dxa" w:w="240"/>
            </w:tcMar>
          </w:tcPr>
          <w:p>
            <w:pPr>
              <w:jc w:val="center"/>
            </w:pPr>
            <w:r>
              <w:rPr>
                <w:rFonts w:ascii="Arial" w:cs="Arial" w:eastAsia="Arial" w:hAnsi="Arial"/>
                <w:b/>
                <w:bCs/>
                <w:color w:val="1A7A4A"/>
                <w:sz w:val="28"/>
                <w:szCs w:val="28"/>
              </w:rPr>
              <w:t xml:space="preserve">Realistic Prize Total</w:t>
            </w:r>
          </w:p>
          <w:p>
            <w:pPr>
              <w:spacing w:before="120"/>
              <w:jc w:val="center"/>
            </w:pPr>
            <w:r>
              <w:rPr>
                <w:rFonts w:ascii="Arial" w:cs="Arial" w:eastAsia="Arial" w:hAnsi="Arial"/>
                <w:b/>
                <w:bCs/>
                <w:color w:val="1A7A4A"/>
                <w:sz w:val="52"/>
                <w:szCs w:val="52"/>
              </w:rPr>
              <w:t xml:space="preserve">$5,460+ CAD</w:t>
            </w:r>
          </w:p>
          <w:p>
            <w:pPr>
              <w:spacing w:before="80"/>
              <w:jc w:val="center"/>
            </w:pPr>
            <w:r>
              <w:rPr>
                <w:rFonts w:ascii="Arial" w:cs="Arial" w:eastAsia="Arial" w:hAnsi="Arial"/>
                <w:color w:val="2C3E50"/>
                <w:sz w:val="20"/>
                <w:szCs w:val="20"/>
              </w:rPr>
              <w:t xml:space="preserve">If 1st place + Google Vision + UI/UX + Backboard + Demo Video</w:t>
            </w:r>
          </w:p>
        </w:tc>
      </w:tr>
    </w:tbl>
    <w:p>
      <w:pPr>
        <w:spacing w:after="0" w:before="240"/>
      </w:pPr>
      <w:r>
        <w:t xml:space="preserve"/>
      </w:r>
    </w:p>
    <w:p>
      <w:pPr>
        <w:pStyle w:val="Heading1"/>
        <w:pBdr>
          <w:bottom w:val="single" w:color="2E86AB" w:sz="8" w:space="4"/>
        </w:pBdr>
        <w:spacing w:after="160" w:before="400"/>
      </w:pPr>
      <w:r>
        <w:rPr>
          <w:rFonts w:ascii="Arial" w:cs="Arial" w:eastAsia="Arial" w:hAnsi="Arial"/>
          <w:b/>
          <w:bCs/>
          <w:color w:val="1E3A5F"/>
          <w:sz w:val="36"/>
          <w:szCs w:val="36"/>
        </w:rPr>
        <w:t xml:space="preserve">Why ClearConsent Breaks the Norm</w:t>
      </w:r>
    </w:p>
    <w:p>
      <w:pPr>
        <w:spacing w:after="80" w:before="80"/>
      </w:pPr>
      <w:r>
        <w:rPr>
          <w:rFonts w:ascii="Arial" w:cs="Arial" w:eastAsia="Arial" w:hAnsi="Arial"/>
          <w:color w:val="2C3E50"/>
          <w:sz w:val="22"/>
          <w:szCs w:val="22"/>
        </w:rPr>
        <w:t xml:space="preserve">The one-sentence norm: You are supposed to just sign.</w:t>
      </w:r>
    </w:p>
    <w:p>
      <w:pPr>
        <w:spacing w:after="0" w:before="120"/>
      </w:pPr>
      <w:r>
        <w:t xml:space="preserve"/>
      </w:r>
    </w:p>
    <w:p>
      <w:pPr>
        <w:spacing w:after="80" w:before="80"/>
      </w:pPr>
      <w:r>
        <w:rPr>
          <w:rFonts w:ascii="Arial" w:cs="Arial" w:eastAsia="Arial" w:hAnsi="Arial"/>
          <w:color w:val="2C3E50"/>
          <w:sz w:val="22"/>
          <w:szCs w:val="22"/>
        </w:rPr>
        <w:t xml:space="preserve">Every institution that uses consent forms — hospitals, landlords, employers, apps — has built their legal protection around the statistical certainty that you will not read what you sign. The entire legal framework of informed consent is structurally undermined by documents deliberately written to be unreadable. This is not an accident. It is a design choice.</w:t>
      </w:r>
    </w:p>
    <w:p>
      <w:pPr>
        <w:spacing w:after="0" w:before="120"/>
      </w:pPr>
      <w:r>
        <w:t xml:space="preserve"/>
      </w:r>
    </w:p>
    <w:p>
      <w:pPr>
        <w:spacing w:after="80" w:before="80"/>
      </w:pPr>
      <w:r>
        <w:rPr>
          <w:rFonts w:ascii="Arial" w:cs="Arial" w:eastAsia="Arial" w:hAnsi="Arial"/>
          <w:color w:val="2C3E50"/>
          <w:sz w:val="22"/>
          <w:szCs w:val="22"/>
        </w:rPr>
        <w:t xml:space="preserve">ClearConsent does not just help people read. It makes the information asymmetry visible. When a user sees a 74/100 risk score on a hospital consent form and reads 'you are waiving your right to sue' in plain English, the norm is broken in real time, in front of a judge, in 10 seconds.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The Demo Moment</w:t>
            </w:r>
          </w:p>
        </w:tc>
      </w:tr>
      <w:tr>
        <w:tc>
          <w:tcPr>
            <w:tcBorders>
              <w:top w:val="single" w:color="BDC3C7" w:sz="1"/>
              <w:left w:val="single" w:color="BDC3C7" w:sz="1"/>
              <w:bottom w:val="single" w:color="BDC3C7" w:sz="1"/>
              <w:right w:val="single" w:color="BDC3C7" w:sz="1"/>
            </w:tcBorders>
            <w:shd w:fill="D6EAF8" w:val="clear"/>
            <w:tcMar>
              <w:top w:type="dxa" w:w="120"/>
              <w:left w:type="dxa" w:w="160"/>
              <w:bottom w:type="dxa" w:w="120"/>
              <w:right w:type="dxa" w:w="160"/>
            </w:tcMar>
          </w:tcPr>
          <w:p>
            <w:r>
              <w:rPr>
                <w:rFonts w:ascii="Arial" w:cs="Arial" w:eastAsia="Arial" w:hAnsi="Arial"/>
                <w:color w:val="2C3E50"/>
                <w:sz w:val="21"/>
                <w:szCs w:val="21"/>
              </w:rPr>
              <w:t xml:space="preserve">Hand a judge your phone. Let them photograph any document — their phone's terms of service, a hackathon waiver, anything. Watch the risk score appear. That is the moment ClearConsent wins.</w:t>
            </w:r>
          </w:p>
        </w:tc>
      </w:tr>
    </w:tbl>
    <w:p>
      <w:pPr>
        <w:spacing w:after="0" w:before="300"/>
      </w:pPr>
      <w:r>
        <w:t xml:space="preserve"/>
      </w:r>
    </w:p>
    <w:p>
      <w:pPr>
        <w:spacing w:before="200"/>
        <w:jc w:val="center"/>
      </w:pPr>
      <w:r>
        <w:rPr>
          <w:rFonts w:ascii="Arial" w:cs="Arial" w:eastAsia="Arial" w:hAnsi="Arial"/>
          <w:i/>
          <w:iCs/>
          <w:color w:val="BDC3C7"/>
          <w:sz w:val="20"/>
          <w:szCs w:val="20"/>
        </w:rPr>
        <w:t xml:space="preserve">ClearConsent  |  BearHacks 2026  |  Break the Norm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2026-04-25T18:34:17.641Z</dcterms:created>
  <dcterms:modified xsi:type="dcterms:W3CDTF">2026-04-25T18:34:17.642Z</dcterms:modified>
</cp:coreProperties>
</file>

<file path=docProps/custom.xml><?xml version="1.0" encoding="utf-8"?>
<Properties xmlns="http://schemas.openxmlformats.org/officeDocument/2006/custom-properties" xmlns:vt="http://schemas.openxmlformats.org/officeDocument/2006/docPropsVTypes"/>
</file>