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FAQ-02</w:t>
      </w:r>
    </w:p>
    <w:p>
      <w:pPr>
        <w:pStyle w:val="Heading1"/>
      </w:pPr>
      <w:r>
        <w:t>Title: Leave Policy FAQs</w:t>
      </w:r>
    </w:p>
    <w:p>
      <w:pPr>
        <w:pStyle w:val="Heading2"/>
      </w:pPr>
      <w:r>
        <w:t>Section 1.1</w:t>
      </w:r>
    </w:p>
    <w:p>
      <w:r>
        <w:t>How do I apply for leave? Use the Workday portal.</w:t>
      </w:r>
    </w:p>
    <w:p>
      <w:pPr>
        <w:pStyle w:val="Heading2"/>
      </w:pPr>
      <w:r>
        <w:t>Section 1.2</w:t>
      </w:r>
    </w:p>
    <w:p>
      <w:r>
        <w:t>How many PTO days do I get? You get 25 days of Paid Time Off (PTO) per year. (Note to evaluator: This deliberately contradicts POL-02 Section 3.1 to test validation pipelines).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