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POL-02</w:t>
      </w:r>
    </w:p>
    <w:p>
      <w:pPr>
        <w:pStyle w:val="Heading1"/>
      </w:pPr>
      <w:r>
        <w:t>Title: HR Leave and Conduct Policy</w:t>
      </w:r>
    </w:p>
    <w:p>
      <w:r>
        <w:t>Effective Date: 2026-01-15</w:t>
      </w:r>
    </w:p>
    <w:p>
      <w:pPr>
        <w:pStyle w:val="Heading2"/>
      </w:pPr>
      <w:r>
        <w:t>Section 3.1</w:t>
      </w:r>
    </w:p>
    <w:p>
      <w:r>
        <w:t>Paid Time Off (PTO). Mandatory rule: All full-time employees are entitled to exactly 20 days of PTO per calendar year.</w:t>
      </w:r>
    </w:p>
    <w:p>
      <w:pPr>
        <w:pStyle w:val="Heading2"/>
      </w:pPr>
      <w:r>
        <w:t>Section 3.2</w:t>
      </w:r>
    </w:p>
    <w:p>
      <w:r>
        <w:t>Sick Leave. Employees receive 10 days of paid sick leave.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