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ID: POL-03B</w:t>
      </w:r>
    </w:p>
    <w:p>
      <w:pPr>
        <w:pStyle w:val="Heading1"/>
      </w:pPr>
      <w:r>
        <w:t>Title: Information Security Policy (Version 2)</w:t>
      </w:r>
    </w:p>
    <w:p>
      <w:r>
        <w:t>Effective Date: 2026-06-01</w:t>
      </w:r>
    </w:p>
    <w:p>
      <w:r>
        <w:t>Status: ACTIVE</w:t>
      </w:r>
    </w:p>
    <w:p>
      <w:pPr>
        <w:pStyle w:val="Heading2"/>
      </w:pPr>
      <w:r>
        <w:t>Section 2.1</w:t>
      </w:r>
    </w:p>
    <w:p>
      <w:r>
        <w:t>Passwords. Passwords must be 12 characters long and include special characters. (Supersedes POL-03).</w:t>
      </w:r>
    </w:p>
    <w:p>
      <w:pPr>
        <w:pStyle w:val="Heading2"/>
      </w:pPr>
      <w:r>
        <w:t>Section 2.2</w:t>
      </w:r>
    </w:p>
    <w:p>
      <w:r>
        <w:t>Data Sharing. USB drives are strictly forbidden. Mandatory requirement for all roles: Complete InfoSec module on Day 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