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POL-03</w:t>
      </w:r>
    </w:p>
    <w:p>
      <w:pPr>
        <w:pStyle w:val="Heading1"/>
      </w:pPr>
      <w:r>
        <w:t>Title: Information Security Policy (Version 1)</w:t>
      </w:r>
    </w:p>
    <w:p>
      <w:r>
        <w:t>Effective Date: 2024-05-01</w:t>
      </w:r>
    </w:p>
    <w:p>
      <w:r>
        <w:t>Status: OBSOLETE</w:t>
      </w:r>
    </w:p>
    <w:p>
      <w:pPr>
        <w:pStyle w:val="Heading2"/>
      </w:pPr>
      <w:r>
        <w:t>Section 2.1</w:t>
      </w:r>
    </w:p>
    <w:p>
      <w:r>
        <w:t>Passwords. Passwords must be 8 characters long.</w:t>
      </w:r>
    </w:p>
    <w:p>
      <w:pPr>
        <w:pStyle w:val="Heading2"/>
      </w:pPr>
      <w:r>
        <w:t>Section 2.2</w:t>
      </w:r>
    </w:p>
    <w:p>
      <w:r>
        <w:t>Data Sharing. USB drives are permitted for transferring client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