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ID: SOP-05</w:t>
      </w:r>
    </w:p>
    <w:p>
      <w:pPr>
        <w:pStyle w:val="Heading1"/>
      </w:pPr>
      <w:r>
        <w:t>Title: Monthly Expense Reconciliation</w:t>
      </w:r>
    </w:p>
    <w:p>
      <w:pPr>
        <w:pStyle w:val="Heading2"/>
      </w:pPr>
      <w:r>
        <w:t>Section 3.1</w:t>
      </w:r>
    </w:p>
    <w:p>
      <w:r>
        <w:t>Expense Reports. Mandatory for Finance Associate: Reconcile all corporate credit card expenses by the 5th of every month.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