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GROUP 22</w:t>
        <w:br/>
        <w:t>PROJECT TITLE- NGO GRANT PROPOSAL MULTIAGENT RAG BASED SYSTEM</w:t>
        <w:br/>
      </w:r>
    </w:p>
    <w:p>
      <w:r>
        <w:rPr>
          <w:rFonts w:ascii="Calibri" w:hAnsi="Calibri"/>
          <w:b/>
          <w:sz w:val="22"/>
        </w:rPr>
        <w:t>WEEK 2 PROGRESS</w:t>
        <w:br/>
      </w:r>
    </w:p>
    <w:p>
      <w:pPr>
        <w:spacing w:before="120" w:after="40"/>
      </w:pPr>
      <w:r>
        <w:rPr>
          <w:rFonts w:ascii="Calibri" w:hAnsi="Calibri"/>
          <w:b/>
          <w:sz w:val="22"/>
        </w:rPr>
        <w:t>Multi-Template Proposal Drafting Engine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Replaced mock/fallback generation with an asynchronous LLM generation pipeline across three institutional grant frameworks:</w:t>
      </w:r>
    </w:p>
    <w:p>
      <w:pPr>
        <w:pStyle w:val="ListBullet2"/>
        <w:spacing w:after="40"/>
      </w:pPr>
      <w:r>
        <w:rPr>
          <w:rFonts w:ascii="Calibri" w:hAnsi="Calibri"/>
          <w:sz w:val="20"/>
        </w:rPr>
        <w:t>Standard Grant Template: General philanthropic foundations, bilateral programs, and international grantmakers.</w:t>
      </w:r>
    </w:p>
    <w:p>
      <w:pPr>
        <w:pStyle w:val="ListBullet2"/>
        <w:spacing w:after="40"/>
      </w:pPr>
      <w:r>
        <w:rPr>
          <w:rFonts w:ascii="Calibri" w:hAnsi="Calibri"/>
          <w:sz w:val="20"/>
        </w:rPr>
        <w:t>CSR Grant Template: Specifically aligned with corporate social responsibility mandates under Schedule VII of the Indian Companies Act, 2013.</w:t>
      </w:r>
    </w:p>
    <w:p>
      <w:pPr>
        <w:pStyle w:val="ListBullet2"/>
        <w:spacing w:after="40"/>
      </w:pPr>
      <w:r>
        <w:rPr>
          <w:rFonts w:ascii="Calibri" w:hAnsi="Calibri"/>
          <w:sz w:val="20"/>
        </w:rPr>
        <w:t>Government Grant-in-Aid (GIA) Template: Formal administrative structure with NITI Aayog NGO Darpan compliance and administrative expenditure limits.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section-level modular drafting (Executive Summary, Problem Statement, Objectives, Methodology &amp; Implementation Schedule, LogFrame / M&amp;E Framework, Budget Breakdown, Sustainability Plan, and Organizational Capability).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Engineered dynamic prompt synthesis incorporating NGO Document Vault chunks, funder eligibility guidelines, and statutory profile metadata.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Budget Intelligence and Double-Counting Safeguards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Developed an algorithmic budget integrity validator that cross-examines itemized expenditure sums against maximum grant caps and project totals.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a subset-sum overlap heuristic (_detect_subset_sum_overlap) to automatically detect and flag duplicate cost allocations or overlapping budget line items across operational and administrative heads.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Enforced statutory administrative expense threshold compliance (e.g., maximum 5% overhead under FCRA/CSR guidelines).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FActScore-Style Atomic Claim Verification Engine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Engineered a claim extraction engine that decomposes drafted proposal text into discrete, atomic factual statements across entity credentials, track record, financial turnover, and beneficiary outreach metrics.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a dual-layer hybrid verification pipeline:</w:t>
      </w:r>
    </w:p>
    <w:p>
      <w:pPr>
        <w:pStyle w:val="ListBullet2"/>
        <w:spacing w:after="40"/>
      </w:pPr>
      <w:r>
        <w:rPr>
          <w:rFonts w:ascii="Calibri" w:hAnsi="Calibri"/>
          <w:sz w:val="20"/>
        </w:rPr>
        <w:t>Deterministic Verification Layer: Zero-hallucination validation of statutory numbers and temporal claims (NGO Darpan regex, Section 12A/80G status, FCRA certificate validity, and arithmetic operational vintage: 2026 - registration_year).</w:t>
      </w:r>
    </w:p>
    <w:p>
      <w:pPr>
        <w:pStyle w:val="ListBullet2"/>
        <w:spacing w:after="40"/>
      </w:pPr>
      <w:r>
        <w:rPr>
          <w:rFonts w:ascii="Calibri" w:hAnsi="Calibri"/>
          <w:sz w:val="20"/>
        </w:rPr>
        <w:t>NLI Entailment Layer: Natural Language Inference grading claims against retrieved NGO Document Vault text chunks into SUPPORTED, UNSUPPORTED, or CONTRADICTED states with direct source citations and confidence scores.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Formulated and benchmarked the Fabrication Rate metric: Fabrication Rate = (Unsupported Claims) / (Total Claims). Benchmarked on live NGO profiles: CRY produced a 41.7% fabrication rate with 5/12 unsupported claims prior to grounding; EOTO scored 50.0%.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Multi-Provider Resilient LLM Architecture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Engineered a multi-tier fault-tolerant LLM infrastructure spanning Google Gemini (LangChain) and Groq Cloud (Llama 3.3-70B Versatile).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intelligent model rotation across Google Gemini 3.x Flash series (gemini-3.5-flash, gemini-3.5-flash-lite, gemini-3.6-flash, gemini-3.8-flash, gemini-3.7-flash).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Configured automated fallback to Groq Llama-3.3-70B upon quota exhaustion or API failure, providing an auxiliary 1,000 requests/day buffer.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dynamic in-memory rate-limit and error cooldown tracking: 504 Gateway Timeout (5 min cooldown), 503 High Demand (5 min cooldown), and 429 Quota Exhaustion (2 hour cooldown).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Document Export and Institutional Publishing Engine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Built a dual-mode document export service generating institutional-grade PDF and DOCX documents with metadata tables, formal headers, and signature blocks via ReportLab.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Engineered a print-ready in-browser A4 CSS stylesheet with DOM visibility isolation (body * { visibility: hidden } #printable-proposal-document { visibility: visible }) and break-inside: avoid pagination rules preventing orphaned headers or split signature blocks.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Developed an interactive proposal workspace supporting section-by-section live editing, markdown preview, and real-time FActScore claim audit inspection.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Testing and Verification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Expanded the automated test suite from 16 to 24 comprehensive unit tests covering LangGraph compilation, multi-template drafting, section-targeted revisions, statutory eligibility gates, and version auto-incrementation.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Achieved a 100% test pass rate executed in ~1.6s with isolated offline mocking and deterministic state transition checks.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Verified production frontend build integrity with zero compilation errors (npm run build).</w:t>
      </w:r>
    </w:p>
    <w:p>
      <w:pPr>
        <w:spacing w:before="160" w:after="80"/>
      </w:pPr>
      <w:r>
        <w:rPr>
          <w:rFonts w:ascii="Calibri" w:hAnsi="Calibri"/>
          <w:b/>
          <w:sz w:val="22"/>
        </w:rPr>
        <w:t>Implementation Challenges &amp; Plan Changes</w:t>
      </w:r>
    </w:p>
    <w:p>
      <w:pPr>
        <w:spacing w:after="80"/>
      </w:pPr>
      <w:r>
        <w:rPr>
          <w:rFonts w:ascii="Calibri" w:hAnsi="Calibri"/>
          <w:b/>
          <w:sz w:val="20"/>
        </w:rPr>
        <w:t>1) LLM Quota Exhaustion &amp; Latency Spikes (HTTP 429 &amp; 504 Gateway Timeouts)</w:t>
        <w:br/>
      </w:r>
      <w:r>
        <w:rPr>
          <w:rFonts w:ascii="Calibri" w:hAnsi="Calibri"/>
          <w:sz w:val="19"/>
        </w:rPr>
        <w:t>Challenge: Simultaneous multi-section synthesis on free-tier Gemini endpoints caused frequent 429 rate limits and 504 gateway timeouts.</w:t>
        <w:br/>
        <w:t>Solution: Engineered a resilient multi-tier LLM architecture with Gemini 3.x model rotation and automated failover to Groq Llama 3.3-70B, combined with exponential backoff and error-specific in-memory cooldown timers.</w:t>
      </w:r>
    </w:p>
    <w:p>
      <w:pPr>
        <w:spacing w:after="80"/>
      </w:pPr>
      <w:r>
        <w:rPr>
          <w:rFonts w:ascii="Calibri" w:hAnsi="Calibri"/>
          <w:b/>
          <w:sz w:val="20"/>
        </w:rPr>
        <w:t>2) Hallucination of Organizational Track Record &amp; Temporal Metrics</w:t>
        <w:br/>
      </w:r>
      <w:r>
        <w:rPr>
          <w:rFonts w:ascii="Calibri" w:hAnsi="Calibri"/>
          <w:sz w:val="19"/>
        </w:rPr>
        <w:t>Challenge: Generative models frequently hallucinated operational vintage, beneficiary counts, and financial turnover not grounded in the NGO's actual documents.</w:t>
        <w:br/>
        <w:t>Solution: Implemented an automated atomic claim extraction pipeline coupled with a hybrid verifier: deterministic arithmetic validation for dates/vintage/registration, and strict document-grounded NLI entailment scoring each claim against the NGO Document Vault with clear citation highlights.</w:t>
      </w:r>
    </w:p>
    <w:p>
      <w:pPr>
        <w:spacing w:after="80"/>
      </w:pPr>
      <w:r>
        <w:rPr>
          <w:rFonts w:ascii="Calibri" w:hAnsi="Calibri"/>
          <w:b/>
          <w:sz w:val="20"/>
        </w:rPr>
        <w:t>3) CSS Media Print Artifacts and Orphaned Document Layouts</w:t>
        <w:br/>
      </w:r>
      <w:r>
        <w:rPr>
          <w:rFonts w:ascii="Calibri" w:hAnsi="Calibri"/>
          <w:sz w:val="19"/>
        </w:rPr>
        <w:t>Challenge: Standard browser printing leaked application UI elements (navigation bars, buttons, editor panels) and produced awkward page breaks cutting tables and signature blocks across pages.</w:t>
        <w:br/>
        <w:t>Solution: Implemented DOM-level CSS visibility isolation targeting only the document preview container, combined with CSS Paged Media rules (@page { size: A4 portrait; margin: 20mm; }) and break-inside: avoid on all institutional blocks.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