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igrqlr2t33mu" w:id="0"/>
      <w:bookmarkEnd w:id="0"/>
      <w:r w:rsidDel="00000000" w:rsidR="00000000" w:rsidRPr="00000000">
        <w:rPr>
          <w:rtl w:val="0"/>
        </w:rPr>
        <w:t xml:space="preserve">Looking for a cost effective yet organized accounting system? 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b w:val="1"/>
          <w:color w:val="85200c"/>
        </w:rPr>
      </w:pPr>
      <w:bookmarkStart w:colFirst="0" w:colLast="0" w:name="_socof97znivd" w:id="1"/>
      <w:bookmarkEnd w:id="1"/>
      <w:r w:rsidDel="00000000" w:rsidR="00000000" w:rsidRPr="00000000">
        <w:rPr>
          <w:b w:val="1"/>
          <w:color w:val="85200c"/>
          <w:rtl w:val="0"/>
        </w:rPr>
        <w:t xml:space="preserve">A modernized Accounting Solutions aiding Startups, medium &amp; Small-sized businesses.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x3vwrocfltw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CapActix - A prominent name to reckon with simplifying the accounting management &amp; optimizing the cost of redundant functions. </w:t>
      </w:r>
    </w:p>
    <w:p w:rsidR="00000000" w:rsidDel="00000000" w:rsidP="00000000" w:rsidRDefault="00000000" w:rsidRPr="00000000" w14:paraId="00000004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global economic system essentially deals with the non-core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financial services in these days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It brings a competitive atmosphere where businesses stand to excel their financial factor by hook or crook. Besides that, technologies have altered the conventional practice by other ways. </w:t>
      </w:r>
    </w:p>
    <w:p w:rsidR="00000000" w:rsidDel="00000000" w:rsidP="00000000" w:rsidRDefault="00000000" w:rsidRPr="00000000" w14:paraId="00000006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According to the modern organized management systems for your financial business, it is crucial to appoint an expertise that plays well.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deals with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management systems 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accountancy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&amp; allied 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CapActix has made its name in dealing with such systems and engraves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expertise.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company proudly serves its exclusive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outsourcing of accounting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&amp; allied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a wide range of portfolio 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bookkeeping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financial solutions, we upgrade our knowledge and expertise every day. </w:t>
      </w:r>
    </w:p>
    <w:p w:rsidR="00000000" w:rsidDel="00000000" w:rsidP="00000000" w:rsidRDefault="00000000" w:rsidRPr="00000000" w14:paraId="00000008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We, at CapActix, believe in leveraging the diverse range of portfolio to sharpen our niche in delivering the best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Accounting &amp; Bookkeeping 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If you are looking for one of the well-known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outsource accounting 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You have landed on the right page of one of the leading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accounting firms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Optimizing the time and make it worked as productive hours is the most important thing you have to  achieve these days. We offer distinct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Accounting &amp; Financial solutions focussing on our clients constant increase in their business ROI. Also, our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analyzed data makes easy to deal with the in-house corporations and business modules. CapActix delves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small business accounting services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enriching the economic system as a whole for any organization. </w:t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If you are looking for a smart accounting assistant, do consult our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professional account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business models &amp; Accounting Solutions are designed in such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way that it can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an extra mile in rectifying your daily challenging efforts. We excel in internal controls, reducing non-compliance risk, balancing expenses, cash flow &amp; growth as well as delivering top-notch business solutions.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many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small business account service providing firms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serving the organizations with their scope of work and principals. But being in the vast platform of knowledge based firm, we would like to be on top of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accounting firms.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00" w:line="276" w:lineRule="auto"/>
        <w:contextualSpacing w:val="0"/>
        <w:jc w:val="center"/>
        <w:rPr>
          <w:b w:val="1"/>
          <w:i w:val="1"/>
        </w:rPr>
      </w:pPr>
      <w:bookmarkStart w:colFirst="0" w:colLast="0" w:name="_xoxo124zcqh8" w:id="3"/>
      <w:bookmarkEnd w:id="3"/>
      <w:r w:rsidDel="00000000" w:rsidR="00000000" w:rsidRPr="00000000">
        <w:rPr>
          <w:b w:val="1"/>
          <w:i w:val="1"/>
          <w:rtl w:val="0"/>
        </w:rPr>
        <w:t xml:space="preserve">Get the </w:t>
      </w:r>
      <w:r w:rsidDel="00000000" w:rsidR="00000000" w:rsidRPr="00000000">
        <w:rPr>
          <w:b w:val="1"/>
          <w:i w:val="1"/>
          <w:color w:val="980000"/>
          <w:rtl w:val="0"/>
        </w:rPr>
        <w:t xml:space="preserve">professional account services </w:t>
      </w:r>
      <w:r w:rsidDel="00000000" w:rsidR="00000000" w:rsidRPr="00000000">
        <w:rPr>
          <w:b w:val="1"/>
          <w:i w:val="1"/>
          <w:rtl w:val="0"/>
        </w:rPr>
        <w:t xml:space="preserve">from</w:t>
      </w:r>
      <w:r w:rsidDel="00000000" w:rsidR="00000000" w:rsidRPr="00000000">
        <w:rPr>
          <w:b w:val="1"/>
          <w:i w:val="1"/>
          <w:rtl w:val="0"/>
        </w:rPr>
        <w:t xml:space="preserve"> CapActix that deals with the ROI of your business. </w:t>
      </w:r>
    </w:p>
    <w:p w:rsidR="00000000" w:rsidDel="00000000" w:rsidP="00000000" w:rsidRDefault="00000000" w:rsidRPr="00000000" w14:paraId="0000000E">
      <w:pPr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Our Finance and Accounting Services</w:t>
      </w:r>
    </w:p>
    <w:tbl>
      <w:tblPr>
        <w:tblStyle w:val="Table1"/>
        <w:tblW w:w="958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9"/>
        <w:gridCol w:w="4683"/>
        <w:tblGridChange w:id="0">
          <w:tblGrid>
            <w:gridCol w:w="4899"/>
            <w:gridCol w:w="4683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00" w:line="276" w:lineRule="auto"/>
              <w:ind w:left="540" w:hanging="360"/>
              <w:rPr>
                <w:rFonts w:ascii="Calibri" w:cs="Calibri" w:eastAsia="Calibri" w:hAnsi="Calibri"/>
              </w:rPr>
            </w:pPr>
            <w:bookmarkStart w:colFirst="0" w:colLast="0" w:name="_gjdgxs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Bookkeeping Services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Setting Up Chart of Accounts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Preparing and sending Invoices to customer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Recording receipts from customer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Verifying and recording bills from suppliers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to suppliers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Processing employees' pay and update payroll file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Processing other tax related reports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Recording depreciation and other adjusting entries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Entering Bank Transactions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Allocating the account entries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Value-added bookkeeping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hd w:fill="ffffff" w:val="clear"/>
              <w:spacing w:after="200"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Month-end or year-end closing entries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200" w:line="276" w:lineRule="auto"/>
              <w:ind w:left="5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Accounts Payable</w:t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Invoice scanning and storing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Invoice processing &amp; approval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Expense allocation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payment approval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Processing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hd w:fill="ffffff" w:val="clear"/>
              <w:spacing w:after="200"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Handling of vendor inquiries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200" w:line="276" w:lineRule="auto"/>
              <w:ind w:left="5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Accounts Receivable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management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billing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Recording payment from customer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aging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Collections management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hd w:fill="ffffff" w:val="clear"/>
              <w:spacing w:after="200"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Cash forecasting &amp; reporting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200" w:line="276" w:lineRule="auto"/>
              <w:ind w:left="5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Management Reporting</w:t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Balance sheet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Income statement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Trial Balance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Cash flow statement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 reconciliation report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Detailed general ledger report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hd w:fill="ffffff" w:val="clear"/>
              <w:spacing w:after="200" w:line="276" w:lineRule="auto"/>
              <w:ind w:left="501" w:hanging="360"/>
              <w:rPr>
                <w:color w:val="494949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Fixed asset account managements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200" w:line="276" w:lineRule="auto"/>
              <w:ind w:left="5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 Reconciliations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 book reconciliation with your bank statement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Credit card reconciliation with your statement records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Sequencing of checks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hd w:fill="ffffff" w:val="clear"/>
              <w:spacing w:after="200"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Balance sheet reconciliation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200" w:line="276" w:lineRule="auto"/>
              <w:ind w:left="5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Payroll Processing</w:t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Payroll setup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Payday calculations and direct deposits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Payroll taxes calculation and form filling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941, 1099, 940, 944, and quarterly state tax returns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hd w:fill="ffffff" w:val="clear"/>
              <w:spacing w:after="200"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Reconciliation of Payroll with Quarterly returns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200" w:line="276" w:lineRule="auto"/>
              <w:ind w:left="5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Tax Preparation 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United States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Individual Tax Returns: 1040, 1040A, 1040EZ, 1040NR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Tax Returns: 1065, 1120, 1120S, 1041, 990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hd w:fill="ffffff" w:val="clear"/>
              <w:spacing w:after="200" w:line="276" w:lineRule="auto"/>
              <w:ind w:left="501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 and Use Tax Returns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ind w:left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Accounting Softwares &amp; Support Applications we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Quickbooks, Xero, Sage Intacct, SAGE, Net Suite, Dear System, Bill.com, SAP, Caseware, ADP, Paycheck, Paylocity, Gusto, Hubdoc, </w:t>
      </w:r>
    </w:p>
    <w:p w:rsidR="00000000" w:rsidDel="00000000" w:rsidP="00000000" w:rsidRDefault="00000000" w:rsidRPr="00000000" w14:paraId="00000047">
      <w:pPr>
        <w:spacing w:after="200" w:line="276" w:lineRule="auto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Industries we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