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40"/>
          <w:szCs w:val="40"/>
        </w:rPr>
      </w:pPr>
      <w:r>
        <w:rPr>
          <w:sz w:val="40"/>
          <w:szCs w:val="40"/>
        </w:rPr>
        <w:t>Attacks on osi model and their impacts</w:t>
      </w:r>
    </w:p>
    <w:p>
      <w:pPr>
        <w:rPr>
          <w:sz w:val="40"/>
          <w:szCs w:val="40"/>
        </w:rPr>
      </w:pPr>
      <w:r>
        <w:rPr>
          <w:sz w:val="40"/>
          <w:szCs w:val="40"/>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t>The OSI (Open Systems Interconnection) model itself is not susceptible to attacks since it is a conceptual framework rather than an implemented system. However, the protocols and technologies based on the OSI model can be vulnerable to various types of attacks. Here are some common attacks on different layers of the OSI model and their impacts:</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Physical Layer Attacks</w:t>
      </w:r>
      <w:r>
        <w:rPr>
          <w:sz w:val="28"/>
          <w:szCs w:val="28"/>
        </w:rPr>
        <w:t>: Physical layer attacks target the physical transmission medium. Examples include cutting or tapping into network cables, electromagnetic interference, or jamming signals. These attacks can disrupt communication, cause signal loss or degradation, and lead to network outages.</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Data Link Layer Attacks</w:t>
      </w:r>
      <w:r>
        <w:rPr>
          <w:sz w:val="28"/>
          <w:szCs w:val="28"/>
        </w:rPr>
        <w:t>: Data link layer attacks aim to exploit vulnerabilities in the protocols responsible for data link connectivity and error control. For example, an attacker can perform a man-in-the-middle attack by intercepting and altering data frames. This can lead to unauthorized access, data manipulation, or denial of service.</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Network Layer Attacks</w:t>
      </w:r>
      <w:r>
        <w:rPr>
          <w:sz w:val="28"/>
          <w:szCs w:val="28"/>
        </w:rPr>
        <w:t>: Network layer attacks often target the network infrastructure, such as routers or routing protocols. Examples include IP spoofing, Distributed Denial of Service (DDoS) attacks, or routing table manipulation. These attacks can result in traffic diversion, network congestion, or network unavailability.</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Transport Layer Attacks</w:t>
      </w:r>
      <w:r>
        <w:rPr>
          <w:sz w:val="28"/>
          <w:szCs w:val="28"/>
        </w:rPr>
        <w:t>: Transport layer attacks focus on exploiting vulnerabilities in transport protocols like TCP or UDP. SYN flooding attacks, TCP session hijacking, or UDP flood attacks are examples of such attacks. These can lead to service disruption, loss of data integrity, or unauthorized access to network services.</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Session Layer Attacks</w:t>
      </w:r>
      <w:r>
        <w:rPr>
          <w:sz w:val="28"/>
          <w:szCs w:val="28"/>
        </w:rPr>
        <w:t>: Session layer attacks typically involve unauthorized access or manipulation of communication sessions between applications. For instance, session hijacking attacks can compromise user sessions and gain unauthorized access to sensitive information or perform malicious actions.</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Presentation Layer Attacks</w:t>
      </w:r>
      <w:r>
        <w:rPr>
          <w:sz w:val="28"/>
          <w:szCs w:val="28"/>
        </w:rPr>
        <w:t>: Presentation layer attacks often involve exploiting vulnerabilities in data format and encryption/decryption mechanisms. An example is exploiting a vulnerability in a file format parser to execute malicious code or gain unauthorized access to a system.</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Application Layer Attacks</w:t>
      </w:r>
      <w:r>
        <w:rPr>
          <w:sz w:val="28"/>
          <w:szCs w:val="28"/>
        </w:rPr>
        <w:t>: Application layer attacks target specific applications or services running on the network. Examples include SQL injection, cross-site scripting (XSS), or phishing attacks. These attacks can result in data breaches, unauthorized access, or compromise of user credentials.</w:t>
      </w:r>
    </w:p>
    <w:p>
      <w:pPr>
        <w:numPr>
          <w:ilvl w:val="0"/>
          <w:numId w:val="0"/>
        </w:numPr>
        <w:ind w:left="283" w:firstLine="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t>It's important to note that attacks can occur across multiple layers and can have cascading effects. For example, a successful network layer attack can impact transport layer protocols, leading to service disruption at higher layers.</w:t>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t>To mitigate these attacks, security measures such as encryption, firewalls, intrusion detection systems, and secure coding practices are employed. Regular security audits, patch management, and user awareness training are also crucial to ensure the overall security of networks and systems.</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4"/>
    </w:tmLastPosCaret>
    <w:tmLastPosAnchor>
      <w:tmLastPosPgfIdx w:val="0"/>
      <w:tmLastPosIdx w:val="0"/>
    </w:tmLastPosAnchor>
    <w:tmLastPosTblRect w:left="0" w:top="0" w:right="0" w:bottom="0"/>
  </w:tmLastPos>
  <w:tmAppRevision w:date="1688753089"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2023-07-07T18:00:56Z</dcterms:created>
  <dcterms:modified xsi:type="dcterms:W3CDTF">2023-07-07T18:04:49Z</dcterms:modified>
</cp:coreProperties>
</file>