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8783F">
      <w:pPr>
        <w:pStyle w:val="15"/>
        <w:spacing w:after="60"/>
        <w:jc w:val="center"/>
        <w:rPr>
          <w:b/>
          <w:bCs/>
          <w:color w:val="1F3864"/>
          <w:sz w:val="30"/>
          <w:szCs w:val="30"/>
        </w:rPr>
      </w:pPr>
    </w:p>
    <w:p w14:paraId="1F731A69">
      <w:pPr>
        <w:pStyle w:val="15"/>
        <w:spacing w:after="60"/>
        <w:jc w:val="center"/>
        <w:rPr>
          <w:b/>
          <w:bCs/>
          <w:color w:val="1F3864"/>
          <w:sz w:val="30"/>
          <w:szCs w:val="30"/>
        </w:rPr>
      </w:pPr>
    </w:p>
    <w:p w14:paraId="6BBD5DB7">
      <w:pPr>
        <w:pStyle w:val="15"/>
        <w:spacing w:after="60"/>
        <w:jc w:val="center"/>
        <w:rPr>
          <w:rFonts w:hint="default"/>
          <w:b/>
          <w:bCs/>
          <w:color w:val="1F3864"/>
          <w:sz w:val="30"/>
          <w:szCs w:val="30"/>
          <w:lang w:val="en-US"/>
        </w:rPr>
      </w:pPr>
      <w:r>
        <w:rPr>
          <w:rFonts w:hint="default"/>
          <w:b/>
          <w:bCs/>
          <w:color w:val="1F3864"/>
          <w:sz w:val="30"/>
          <w:szCs w:val="30"/>
          <w:lang w:val="en-US"/>
        </w:rPr>
        <w:t>LAB 03</w:t>
      </w:r>
    </w:p>
    <w:p w14:paraId="526ED98D">
      <w:pPr>
        <w:pStyle w:val="15"/>
        <w:spacing w:after="60"/>
        <w:jc w:val="both"/>
        <w:rPr>
          <w:rFonts w:hint="default"/>
          <w:b/>
          <w:bCs/>
          <w:color w:val="1F3864"/>
          <w:sz w:val="24"/>
          <w:szCs w:val="24"/>
          <w:lang w:val="en-US"/>
        </w:rPr>
      </w:pPr>
    </w:p>
    <w:p w14:paraId="43D63AD9">
      <w:pPr>
        <w:pStyle w:val="15"/>
        <w:spacing w:after="60"/>
        <w:jc w:val="center"/>
        <w:rPr>
          <w:rFonts w:hint="default"/>
          <w:b w:val="0"/>
          <w:bCs w:val="0"/>
          <w:color w:val="auto"/>
          <w:sz w:val="24"/>
          <w:szCs w:val="24"/>
          <w:lang w:val="en-US"/>
        </w:rPr>
      </w:pPr>
      <w:r>
        <w:rPr>
          <w:rFonts w:hint="default"/>
          <w:b/>
          <w:bCs/>
          <w:color w:val="auto"/>
          <w:sz w:val="24"/>
          <w:szCs w:val="24"/>
          <w:lang w:val="en-US"/>
        </w:rPr>
        <w:t xml:space="preserve">Name: </w:t>
      </w:r>
      <w:r>
        <w:rPr>
          <w:rFonts w:hint="default"/>
          <w:b w:val="0"/>
          <w:bCs w:val="0"/>
          <w:color w:val="auto"/>
          <w:sz w:val="24"/>
          <w:szCs w:val="24"/>
          <w:lang w:val="en-US"/>
        </w:rPr>
        <w:t xml:space="preserve">Tanvi Magalur                           </w:t>
      </w:r>
      <w:r>
        <w:rPr>
          <w:rFonts w:hint="default"/>
          <w:b/>
          <w:bCs/>
          <w:color w:val="auto"/>
          <w:sz w:val="24"/>
          <w:szCs w:val="24"/>
          <w:lang w:val="en-US"/>
        </w:rPr>
        <w:t>SRN:</w:t>
      </w:r>
      <w:r>
        <w:rPr>
          <w:rFonts w:hint="default"/>
          <w:b w:val="0"/>
          <w:bCs w:val="0"/>
          <w:color w:val="auto"/>
          <w:sz w:val="24"/>
          <w:szCs w:val="24"/>
          <w:lang w:val="en-US"/>
        </w:rPr>
        <w:t>PES2UG24</w:t>
      </w:r>
      <w:bookmarkStart w:id="0" w:name="_GoBack"/>
      <w:bookmarkEnd w:id="0"/>
      <w:r>
        <w:rPr>
          <w:rFonts w:hint="default"/>
          <w:b w:val="0"/>
          <w:bCs w:val="0"/>
          <w:color w:val="auto"/>
          <w:sz w:val="24"/>
          <w:szCs w:val="24"/>
          <w:lang w:val="en-US"/>
        </w:rPr>
        <w:t xml:space="preserve">CS257                      </w:t>
      </w:r>
      <w:r>
        <w:rPr>
          <w:rFonts w:hint="default"/>
          <w:b/>
          <w:bCs/>
          <w:color w:val="auto"/>
          <w:sz w:val="24"/>
          <w:szCs w:val="24"/>
          <w:lang w:val="en-US"/>
        </w:rPr>
        <w:t xml:space="preserve">Section: </w:t>
      </w:r>
      <w:r>
        <w:rPr>
          <w:rFonts w:hint="default"/>
          <w:b w:val="0"/>
          <w:bCs w:val="0"/>
          <w:color w:val="auto"/>
          <w:sz w:val="24"/>
          <w:szCs w:val="24"/>
          <w:lang w:val="en-US"/>
        </w:rPr>
        <w:t>E</w:t>
      </w:r>
    </w:p>
    <w:p w14:paraId="2287DE8F">
      <w:pPr>
        <w:pStyle w:val="15"/>
        <w:spacing w:after="60"/>
        <w:jc w:val="both"/>
      </w:pPr>
      <w:r>
        <w:rPr>
          <w:b/>
          <w:bCs/>
          <w:color w:val="1F3864"/>
          <w:sz w:val="30"/>
          <w:szCs w:val="30"/>
        </w:rPr>
        <w:t>Architectural Pattern Justification</w:t>
      </w:r>
    </w:p>
    <w:p w14:paraId="37FE2D4D">
      <w:pPr>
        <w:spacing w:after="260"/>
        <w:jc w:val="both"/>
      </w:pPr>
      <w:r>
        <w:rPr>
          <w:i/>
          <w:iCs/>
          <w:color w:val="555555"/>
          <w:sz w:val="20"/>
          <w:szCs w:val="20"/>
        </w:rPr>
        <w:t>Lab 3: Component Modelling &amp; Architectural Pattern Selection</w:t>
      </w:r>
    </w:p>
    <w:p w14:paraId="079C0F2D">
      <w:pPr>
        <w:spacing w:after="140"/>
        <w:jc w:val="both"/>
      </w:pPr>
      <w:r>
        <w:rPr>
          <w:b/>
          <w:bCs/>
          <w:i w:val="0"/>
          <w:iCs w:val="0"/>
          <w:sz w:val="22"/>
          <w:szCs w:val="22"/>
        </w:rPr>
        <w:t>Architecture Selection: We chose Layered Architecture for the Household Carbon Footprint &amp; Target Tracker System.</w:t>
      </w:r>
    </w:p>
    <w:p w14:paraId="7E2796A8">
      <w:pPr>
        <w:pStyle w:val="2"/>
        <w:spacing w:before="160" w:after="100"/>
      </w:pPr>
      <w:r>
        <w:rPr>
          <w:b/>
          <w:bCs/>
          <w:color w:val="1F3864"/>
        </w:rPr>
        <w:t>Two Scenario-Related Reasons</w:t>
      </w:r>
    </w:p>
    <w:p w14:paraId="40505A6B">
      <w:pPr>
        <w:pStyle w:val="16"/>
        <w:numPr>
          <w:ilvl w:val="0"/>
          <w:numId w:val="1"/>
        </w:numPr>
        <w:spacing w:after="90"/>
      </w:pPr>
      <w:r>
        <w:rPr>
          <w:b/>
          <w:bCs/>
          <w:sz w:val="22"/>
          <w:szCs w:val="22"/>
        </w:rPr>
        <w:t xml:space="preserve">1. Clear separation between simple, well-defined concerns: </w:t>
      </w:r>
      <w:r>
        <w:rPr>
          <w:sz w:val="22"/>
          <w:szCs w:val="22"/>
        </w:rPr>
        <w:t>The system's functionality naturally splits into presentation (resident/coach-facing forms and dashboards), business logic (CO2e calculation, target and milestone tracking, coach recommendations), and data storage (monthly utility logs, targets, historical records). A layered structure keeps these concerns isolated so each can be developed, tested, and modified independently without the operational overhead of running and coordinating separate deployable services.</w:t>
      </w:r>
    </w:p>
    <w:p w14:paraId="555F5492">
      <w:pPr>
        <w:pStyle w:val="16"/>
        <w:numPr>
          <w:ilvl w:val="0"/>
          <w:numId w:val="1"/>
        </w:numPr>
        <w:spacing w:after="90"/>
      </w:pPr>
      <w:r>
        <w:rPr>
          <w:b/>
          <w:bCs/>
          <w:sz w:val="22"/>
          <w:szCs w:val="22"/>
        </w:rPr>
        <w:t xml:space="preserve">2. Matches the scale and usage pattern of the system: </w:t>
      </w:r>
      <w:r>
        <w:rPr>
          <w:sz w:val="22"/>
          <w:szCs w:val="22"/>
        </w:rPr>
        <w:t>This is a single-household analytics tool with modest, predictable traffic (one monthly log entry per household, occasional dashboard views) rather than a large-scale, independently-scaling workload. Microservices would introduce unnecessary network latency and distributed-data-consistency challenges for a problem this size, while a layered monolith is simpler to build, deploy, and maintain within the project's scope.</w:t>
      </w:r>
    </w:p>
    <w:p w14:paraId="0CFC2A01">
      <w:pPr>
        <w:pStyle w:val="2"/>
        <w:spacing w:before="160" w:after="100"/>
      </w:pPr>
      <w:r>
        <w:rPr>
          <w:b/>
          <w:bCs/>
          <w:color w:val="1F3864"/>
        </w:rPr>
        <w:t>Security Advantage</w:t>
      </w:r>
    </w:p>
    <w:p w14:paraId="47BBB709">
      <w:pPr>
        <w:spacing w:after="140"/>
      </w:pPr>
      <w:r>
        <w:rPr>
          <w:b w:val="0"/>
          <w:bCs w:val="0"/>
          <w:i w:val="0"/>
          <w:iCs w:val="0"/>
          <w:sz w:val="22"/>
          <w:szCs w:val="22"/>
        </w:rPr>
        <w:t>Centralizing all persistence access behind the Data Layer's Data Access Interface means the Presentation Layer never talks to the database directly. Every read or write to household utility logs, targets, or emissions history is mediated by the Business Layer components (Emissions Calculator, Target &amp; Milestone Manager, Recommendation Service), which can enforce authentication, input validation, and household-level access control (e.g., ensuring a Sustainability Coach can only view households explicitly linked to them) in one consistent place rather than duplicating those checks across multiple independent services.</w:t>
      </w:r>
    </w:p>
    <w:p w14:paraId="15975B43">
      <w:pPr>
        <w:pStyle w:val="2"/>
        <w:spacing w:before="160" w:after="100"/>
      </w:pPr>
      <w:r>
        <w:rPr>
          <w:b/>
          <w:bCs/>
          <w:color w:val="1F3864"/>
        </w:rPr>
        <w:t>Performance Benefit</w:t>
      </w:r>
    </w:p>
    <w:p w14:paraId="632EACC8">
      <w:pPr>
        <w:spacing w:after="140"/>
      </w:pPr>
      <w:r>
        <w:rPr>
          <w:b w:val="0"/>
          <w:bCs w:val="0"/>
          <w:i w:val="0"/>
          <w:iCs w:val="0"/>
          <w:sz w:val="22"/>
          <w:szCs w:val="22"/>
        </w:rPr>
        <w:t>Because all layers run within a single deployable application, calls between the User Interface Component and the Business Layer components are in-process function calls rather than network requests. This eliminates the inter-service network latency that a microservices or distributed client-server split would introduce, which directly supports NFR-001's requirement that the milestone comparison chart render in under 200 ms, since the Emissions Calculator and Target &amp; Milestone Manager can fetch and aggregate historical data from the Data Layer with minimal overhead.</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D557A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2026-09-11T04:29:00Z</dcterms:created>
  <dc:creator>Un-named</dc:creator>
  <cp:lastModifiedBy>tanvi</cp:lastModifiedBy>
  <dcterms:modified xsi:type="dcterms:W3CDTF">2026-09-11T13:51:42Z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23636657EE5E4C73B0759690A661C059_12</vt:lpwstr>
  </property>
</Properties>
</file>