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jc w:val="center"/>
      </w:pPr>
      <w:r>
        <w:rPr>
          <w:rFonts w:ascii="Times New Roman" w:cs="Times New Roman" w:eastAsia="Times New Roman" w:hAnsi="Times New Roman"/>
          <w:b/>
          <w:bCs/>
          <w:sz w:val="34"/>
          <w:szCs w:val="34"/>
        </w:rPr>
        <w:t xml:space="preserve">How Contaminated Would It Have To Be? Partial Identification and Sensitivity Analysis for Benchmark Claims Under Unmeasured Data Contamination</w:t>
      </w:r>
    </w:p>
    <w:p>
      <w:pPr>
        <w:spacing w:after="60"/>
        <w:jc w:val="center"/>
      </w:pPr>
      <w:r>
        <w:rPr>
          <w:rFonts w:ascii="Times New Roman" w:cs="Times New Roman" w:eastAsia="Times New Roman" w:hAnsi="Times New Roman"/>
          <w:b/>
          <w:bCs/>
          <w:sz w:val="24"/>
          <w:szCs w:val="24"/>
        </w:rPr>
        <w:t xml:space="preserve">Tanvir Anjum Joarder</w:t>
      </w:r>
      <w:r>
        <w:rPr>
          <w:rFonts w:ascii="Times New Roman" w:cs="Times New Roman" w:eastAsia="Times New Roman" w:hAnsi="Times New Roman"/>
          <w:sz w:val="24"/>
          <w:szCs w:val="24"/>
        </w:rPr>
        <w:t xml:space="preserve">¹</w:t>
      </w:r>
    </w:p>
    <w:p>
      <w:pPr>
        <w:spacing w:after="480"/>
        <w:jc w:val="center"/>
      </w:pPr>
      <w:r>
        <w:rPr>
          <w:rFonts w:ascii="Times New Roman" w:cs="Times New Roman" w:eastAsia="Times New Roman" w:hAnsi="Times New Roman"/>
          <w:sz w:val="20"/>
          <w:szCs w:val="20"/>
        </w:rPr>
        <w:t xml:space="preserve">¹ Department of Computer Science and Engineering, Rajshahi University of Engineering &amp; Technology, Rajshahi-6204, Bangladesh. </w:t>
      </w:r>
      <w:r>
        <w:rPr>
          <w:rFonts w:ascii="Consolas" w:cs="Consolas" w:eastAsia="Consolas" w:hAnsi="Consolas"/>
          <w:sz w:val="20"/>
          <w:szCs w:val="20"/>
        </w:rPr>
        <w:t xml:space="preserve">ussash93@gmail.com</w:t>
      </w:r>
    </w:p>
    <w:p>
      <w:pPr>
        <w:pStyle w:val="Heading1"/>
      </w:pPr>
      <w:r>
        <w:rPr>
          <w:rFonts w:ascii="Times New Roman" w:cs="Times New Roman" w:eastAsia="Times New Roman" w:hAnsi="Times New Roman"/>
          <w:sz w:val="22"/>
          <w:szCs w:val="22"/>
        </w:rPr>
        <w:t xml:space="preserve">Abstract</w:t>
      </w:r>
    </w:p>
    <w:p>
      <w:pPr>
        <w:spacing w:after="120" w:line="300"/>
        <w:jc w:val="both"/>
      </w:pPr>
      <w:r>
        <w:rPr>
          <w:rFonts w:ascii="Times New Roman" w:cs="Times New Roman" w:eastAsia="Times New Roman" w:hAnsi="Times New Roman"/>
          <w:sz w:val="22"/>
          <w:szCs w:val="22"/>
        </w:rPr>
        <w:t xml:space="preserve">Leaderboard claims of the form "model A outperforms model B" are treated as measurements of capability, but they are observational estimates whose dominant error source, training-data contamination, is unmodeled. The field's response has been </w:t>
      </w:r>
      <w:r>
        <w:rPr>
          <w:rFonts w:ascii="Times New Roman" w:cs="Times New Roman" w:eastAsia="Times New Roman" w:hAnsi="Times New Roman"/>
          <w:i/>
          <w:iCs/>
          <w:sz w:val="22"/>
          <w:szCs w:val="22"/>
        </w:rPr>
        <w:t xml:space="preserve">detection</w:t>
      </w:r>
      <w:r>
        <w:rPr>
          <w:rFonts w:ascii="Times New Roman" w:cs="Times New Roman" w:eastAsia="Times New Roman" w:hAnsi="Times New Roman"/>
          <w:sz w:val="22"/>
          <w:szCs w:val="22"/>
        </w:rPr>
        <w:t xml:space="preserve">, which requires access to training corpora (impossible for closed-weight models), reference benchmarks, or reference models assumed clean, and which cannot answer the only question that matters: does the contamination change the conclusion? We import the epistemology that causal inference developed for unmeasured confounding: stop trying to detect the bias and </w:t>
      </w:r>
      <w:r>
        <w:rPr>
          <w:rFonts w:ascii="Times New Roman" w:cs="Times New Roman" w:eastAsia="Times New Roman" w:hAnsi="Times New Roman"/>
          <w:i/>
          <w:iCs/>
          <w:sz w:val="22"/>
          <w:szCs w:val="22"/>
        </w:rPr>
        <w:t xml:space="preserve">bound</w:t>
      </w:r>
      <w:r>
        <w:rPr>
          <w:rFonts w:ascii="Times New Roman" w:cs="Times New Roman" w:eastAsia="Times New Roman" w:hAnsi="Times New Roman"/>
          <w:sz w:val="22"/>
          <w:szCs w:val="22"/>
        </w:rPr>
        <w:t xml:space="preserve"> it. We formalize contamination as an identification failure, introduce a Contamination Sensitivity Model CSM±(Λ⁺, Λ⁻, π, Γ_sel, ε) whose every parameter has a measured empirical counterpart, derive sharp partial-identification bounds for the uncontaminated score, and define the </w:t>
      </w:r>
      <w:r>
        <w:rPr>
          <w:rFonts w:ascii="Times New Roman" w:cs="Times New Roman" w:eastAsia="Times New Roman" w:hAnsi="Times New Roman"/>
          <w:b/>
          <w:bCs/>
          <w:sz w:val="22"/>
          <w:szCs w:val="22"/>
        </w:rPr>
        <w:t xml:space="preserve">contamination robustness value Γ*</w:t>
      </w:r>
      <w:r>
        <w:rPr>
          <w:rFonts w:ascii="Times New Roman" w:cs="Times New Roman" w:eastAsia="Times New Roman" w:hAnsi="Times New Roman"/>
          <w:sz w:val="22"/>
          <w:szCs w:val="22"/>
        </w:rPr>
        <w:t xml:space="preserve"> — the minimum contamination strength that overturns a claim — computable from published scores alone. The fully adversarial bound arises as the endpoint of a Rosenbaum-type selection family; Γ̂* is consistent and √n-normal, and a paired bootstrap with Benjamini–Hochberg control yields FDR-certified robustness across a claim corpus. Ground-truth experiments with </w:t>
      </w:r>
      <w:r>
        <w:rPr>
          <w:rFonts w:ascii="Times New Roman" w:cs="Times New Roman" w:eastAsia="Times New Roman" w:hAnsi="Times New Roman"/>
          <w:i/>
          <w:iCs/>
          <w:sz w:val="22"/>
          <w:szCs w:val="22"/>
        </w:rPr>
        <w:t xml:space="preserve">emergent</w:t>
      </w:r>
      <w:r>
        <w:rPr>
          <w:rFonts w:ascii="Times New Roman" w:cs="Times New Roman" w:eastAsia="Times New Roman" w:hAnsi="Times New Roman"/>
          <w:sz w:val="22"/>
          <w:szCs w:val="22"/>
        </w:rPr>
        <w:t xml:space="preserve"> contamination (models genuinely trained on leaked items) validate the assumed lift channel (envelope–headroom correlation ≥ 0.91 in 15/15 configurations), expose and repair two failure modes (two-sided lift; spillover), and confirm coverage. A corpus-dilution experiment then closes the calibration loop: a single diluted exposure (the scraped-pretraining scenario) lands measured contamination strength inside the literature-derived field range, while repeated diluted exposures consolidate toward complete memorization, so accidental and deliberate contamination require different constants and calibration must be dose-stratified. On real data, every adjacent ranking claim in a six-model time-series foundation-model benchmark is fragile (Γ* ≤ 0.114 at π = 0.1), and on Open LLM Leaderboard ARC-Challenge details the method certifies exactly the claim it should (Llama-2-13B ≻ 7B, Γ* = 0.504, FDR-certified) while flagging frontier margins as fragile (Γ* ≤ 0.188). Freshness and repeated draws emerge as quantified design levers. In a </w:t>
      </w:r>
      <w:r>
        <w:rPr>
          <w:rFonts w:ascii="Times New Roman" w:cs="Times New Roman" w:eastAsia="Times New Roman" w:hAnsi="Times New Roman"/>
          <w:b/>
          <w:bCs/>
          <w:sz w:val="22"/>
          <w:szCs w:val="22"/>
        </w:rPr>
        <w:t xml:space="preserve">pre-registered confirmatory audit</w:t>
      </w:r>
      <w:r>
        <w:rPr>
          <w:rFonts w:ascii="Times New Roman" w:cs="Times New Roman" w:eastAsia="Times New Roman" w:hAnsi="Times New Roman"/>
          <w:sz w:val="22"/>
          <w:szCs w:val="22"/>
        </w:rPr>
        <w:t xml:space="preserve"> of 58 adjacent-pair claims across 16 models and four Open LLM Leaderboard benchmarks, </w:t>
      </w:r>
      <w:r>
        <w:rPr>
          <w:rFonts w:ascii="Times New Roman" w:cs="Times New Roman" w:eastAsia="Times New Roman" w:hAnsi="Times New Roman"/>
          <w:b/>
          <w:bCs/>
          <w:sz w:val="22"/>
          <w:szCs w:val="22"/>
        </w:rPr>
        <w:t xml:space="preserve">84.5% of claims are not contamination-robust</w:t>
      </w:r>
      <w:r>
        <w:rPr>
          <w:rFonts w:ascii="Times New Roman" w:cs="Times New Roman" w:eastAsia="Times New Roman" w:hAnsi="Times New Roman"/>
          <w:sz w:val="22"/>
          <w:szCs w:val="22"/>
        </w:rPr>
        <w:t xml:space="preserve"> at the frozen calibration (exact 95% CI [72.6%, 92.7%]; one-sided p = 2.7×10⁻²¹ against the pre-registered 25% threshold), and only 8 claims, all with margins above 5 points, earn FDR-controlled robustness certificates. The finding is not an artifact of the frozen constant: sweeping contamination strength across its whole plausible range leaves the conclusion intact, and the hypothesis clears its pre-registered bar for every Λ ≥ 0.055, beneath the floor of the calibrated field range. In the single-draw binary regime the rule provably reduces to a </w:t>
      </w:r>
      <w:r>
        <w:rPr>
          <w:rFonts w:ascii="Times New Roman" w:cs="Times New Roman" w:eastAsia="Times New Roman" w:hAnsi="Times New Roman"/>
          <w:i/>
          <w:iCs/>
          <w:sz w:val="22"/>
          <w:szCs w:val="22"/>
        </w:rPr>
        <w:t xml:space="preserve">calibrated margin threshold</w:t>
      </w:r>
      <w:r>
        <w:rPr>
          <w:rFonts w:ascii="Times New Roman" w:cs="Times New Roman" w:eastAsia="Times New Roman" w:hAnsi="Times New Roman"/>
          <w:sz w:val="22"/>
          <w:szCs w:val="22"/>
        </w:rPr>
        <w:t xml:space="preserve">; we show why deriving that threshold, rather than asserting one, is the contribution, and where richer data makes the machinery bind strictly tighter. Sensitivity analysis converts an unanswerable question — </w:t>
      </w:r>
      <w:r>
        <w:rPr>
          <w:rFonts w:ascii="Times New Roman" w:cs="Times New Roman" w:eastAsia="Times New Roman" w:hAnsi="Times New Roman"/>
          <w:i/>
          <w:iCs/>
          <w:sz w:val="22"/>
          <w:szCs w:val="22"/>
        </w:rPr>
        <w:t xml:space="preserve">is the benchmark contaminated?</w:t>
      </w:r>
      <w:r>
        <w:rPr>
          <w:rFonts w:ascii="Times New Roman" w:cs="Times New Roman" w:eastAsia="Times New Roman" w:hAnsi="Times New Roman"/>
          <w:sz w:val="22"/>
          <w:szCs w:val="22"/>
        </w:rPr>
        <w:t xml:space="preserve"> — into an answerable one, with a one-number reporting standard any leaderboard can adopt.</w:t>
      </w:r>
    </w:p>
    <w:p>
      <w:pPr>
        <w:spacing w:after="120" w:line="300"/>
        <w:jc w:val="both"/>
      </w:pPr>
      <w:r>
        <w:rPr>
          <w:rFonts w:ascii="Times New Roman" w:cs="Times New Roman" w:eastAsia="Times New Roman" w:hAnsi="Times New Roman"/>
          <w:b/>
          <w:bCs/>
          <w:sz w:val="22"/>
          <w:szCs w:val="22"/>
        </w:rPr>
        <w:t xml:space="preserve">Keywords:</w:t>
      </w:r>
      <w:r>
        <w:rPr>
          <w:rFonts w:ascii="Times New Roman" w:cs="Times New Roman" w:eastAsia="Times New Roman" w:hAnsi="Times New Roman"/>
          <w:sz w:val="22"/>
          <w:szCs w:val="22"/>
        </w:rPr>
        <w:t xml:space="preserve"> benchmark contamination; partial identification; sensitivity analysis; evaluation methodology; leaderboards; Rosenbaum bounds.</w:t>
      </w:r>
    </w:p>
    <w:p>
      <w:pPr>
        <w:pStyle w:val="Heading1"/>
      </w:pPr>
      <w:r>
        <w:rPr>
          <w:rFonts w:ascii="Times New Roman" w:cs="Times New Roman" w:eastAsia="Times New Roman" w:hAnsi="Times New Roman"/>
          <w:sz w:val="22"/>
          <w:szCs w:val="22"/>
        </w:rPr>
        <w:t xml:space="preserve">1. Introduction</w:t>
      </w:r>
    </w:p>
    <w:p>
      <w:pPr>
        <w:spacing w:after="120" w:line="300"/>
        <w:jc w:val="both"/>
      </w:pPr>
      <w:r>
        <w:rPr>
          <w:rFonts w:ascii="Times New Roman" w:cs="Times New Roman" w:eastAsia="Times New Roman" w:hAnsi="Times New Roman"/>
          <w:sz w:val="22"/>
          <w:szCs w:val="22"/>
        </w:rPr>
        <w:t xml:space="preserve">Every empirical claim in machine learning ultimately rests on a benchmark score, and benchmark scores rest on an assumption nobody can verify: that the test items did not leak into training. Contamination is documented and material: clean/dirty gaps of 15.3 points on HellaSwag for LLaMA-70B [Touvron et al., 2023], estimated gains up to 14 points on flagged subsets [Llama 3, 2024], 13-point drops on a clean GSM8K mirror. Yet the response of both producers and auditors has been </w:t>
      </w:r>
      <w:r>
        <w:rPr>
          <w:rFonts w:ascii="Times New Roman" w:cs="Times New Roman" w:eastAsia="Times New Roman" w:hAnsi="Times New Roman"/>
          <w:b/>
          <w:bCs/>
          <w:sz w:val="22"/>
          <w:szCs w:val="22"/>
        </w:rPr>
        <w:t xml:space="preserve">detection</w:t>
      </w:r>
      <w:r>
        <w:rPr>
          <w:rFonts w:ascii="Times New Roman" w:cs="Times New Roman" w:eastAsia="Times New Roman" w:hAnsi="Times New Roman"/>
          <w:sz w:val="22"/>
          <w:szCs w:val="22"/>
        </w:rPr>
        <w:t xml:space="preserve">: n-gram overlap, membership inference, kernel divergence, lineage audits [2404.00699; 2510.13654; 2502.00678]. Detection fails structurally three times over. For closed-weight models the pretraining corpus is unobservable, so detection is impossible </w:t>
      </w:r>
      <w:r>
        <w:rPr>
          <w:rFonts w:ascii="Times New Roman" w:cs="Times New Roman" w:eastAsia="Times New Roman" w:hAnsi="Times New Roman"/>
          <w:i/>
          <w:iCs/>
          <w:sz w:val="22"/>
          <w:szCs w:val="22"/>
        </w:rPr>
        <w:t xml:space="preserve">in principle</w:t>
      </w:r>
      <w:r>
        <w:rPr>
          <w:rFonts w:ascii="Times New Roman" w:cs="Times New Roman" w:eastAsia="Times New Roman" w:hAnsi="Times New Roman"/>
          <w:sz w:val="22"/>
          <w:szCs w:val="22"/>
        </w:rPr>
        <w:t xml:space="preserve"> rather than merely in practice. Detection yields a contestable binary that vendors dispute and no protocol adjudicates. And detection is silent on the decision-relevant question: a benchmark can be contaminated with the ranking robust, or barely contaminated with the ranking fragile; detection cannot tell these apart. The partial-identification tradition [Manski, 2003] gives the honest alternative: when a quantity cannot be point-identified, report the set of values consistent with the data and every assumption you are willing to defend.</w:t>
      </w:r>
    </w:p>
    <w:p>
      <w:pPr>
        <w:spacing w:after="120" w:line="300"/>
        <w:jc w:val="both"/>
      </w:pPr>
      <w:r>
        <w:rPr>
          <w:rFonts w:ascii="Times New Roman" w:cs="Times New Roman" w:eastAsia="Times New Roman" w:hAnsi="Times New Roman"/>
          <w:sz w:val="22"/>
          <w:szCs w:val="22"/>
        </w:rPr>
        <w:t xml:space="preserve">Meanwhile the statistical wing of evaluation reform quantifies the </w:t>
      </w:r>
      <w:r>
        <w:rPr>
          <w:rFonts w:ascii="Times New Roman" w:cs="Times New Roman" w:eastAsia="Times New Roman" w:hAnsi="Times New Roman"/>
          <w:i/>
          <w:iCs/>
          <w:sz w:val="22"/>
          <w:szCs w:val="22"/>
        </w:rPr>
        <w:t xml:space="preserve">wrong error</w:t>
      </w:r>
      <w:r>
        <w:rPr>
          <w:rFonts w:ascii="Times New Roman" w:cs="Times New Roman" w:eastAsia="Times New Roman" w:hAnsi="Times New Roman"/>
          <w:sz w:val="22"/>
          <w:szCs w:val="22"/>
        </w:rPr>
        <w:t xml:space="preserve">. Rank intervals [2606.08679] propagate sampling uncertainty, which shrinks with test-set size; contamination bias does not. A confidence interval that excludes the dominant error source is not a confidence interval.</w:t>
      </w:r>
    </w:p>
    <w:p>
      <w:pPr>
        <w:spacing w:after="120" w:line="300"/>
        <w:jc w:val="both"/>
      </w:pPr>
      <w:r>
        <w:rPr>
          <w:rFonts w:ascii="Times New Roman" w:cs="Times New Roman" w:eastAsia="Times New Roman" w:hAnsi="Times New Roman"/>
          <w:sz w:val="22"/>
          <w:szCs w:val="22"/>
        </w:rPr>
        <w:t xml:space="preserve">Causal inference confronted exactly this epistemology four decades ago. When a confounder cannot be measured, one does not detect it; one reports </w:t>
      </w:r>
      <w:r>
        <w:rPr>
          <w:rFonts w:ascii="Times New Roman" w:cs="Times New Roman" w:eastAsia="Times New Roman" w:hAnsi="Times New Roman"/>
          <w:b/>
          <w:bCs/>
          <w:sz w:val="22"/>
          <w:szCs w:val="22"/>
        </w:rPr>
        <w:t xml:space="preserve">how strong it would have to be to overturn the conclusion</w:t>
      </w:r>
      <w:r>
        <w:rPr>
          <w:rFonts w:ascii="Times New Roman" w:cs="Times New Roman" w:eastAsia="Times New Roman" w:hAnsi="Times New Roman"/>
          <w:sz w:val="22"/>
          <w:szCs w:val="22"/>
        </w:rPr>
        <w:t xml:space="preserve">: Rosenbaum's Γ, the marginal sensitivity model, the E-value [Rosenbaum, 1987; VanderWeele &amp; Ding, 2017; Chernozhukov et al., 2022]. This paper ports that machinery to ML evaluation. The reduction is, once stated, almost obvious: </w:t>
      </w:r>
      <w:r>
        <w:rPr>
          <w:rFonts w:ascii="Times New Roman" w:cs="Times New Roman" w:eastAsia="Times New Roman" w:hAnsi="Times New Roman"/>
          <w:b/>
          <w:bCs/>
          <w:sz w:val="22"/>
          <w:szCs w:val="22"/>
        </w:rPr>
        <w:t xml:space="preserve">contamination is unmeasured confounding between training-data membership and measured skill, and benchmark scores are therefore partially identified.</w:t>
      </w:r>
      <w:r>
        <w:rPr>
          <w:rFonts w:ascii="Times New Roman" w:cs="Times New Roman" w:eastAsia="Times New Roman" w:hAnsi="Times New Roman"/>
          <w:sz w:val="22"/>
          <w:szCs w:val="22"/>
        </w:rPr>
        <w:t xml:space="preserve"> Nothing else in this paper is obvious; the port requires a new sensitivity model (contamination acts through a monotone, bounded, headroom-proportional channel, an assumption we </w:t>
      </w:r>
      <w:r>
        <w:rPr>
          <w:rFonts w:ascii="Times New Roman" w:cs="Times New Roman" w:eastAsia="Times New Roman" w:hAnsi="Times New Roman"/>
          <w:i/>
          <w:iCs/>
          <w:sz w:val="22"/>
          <w:szCs w:val="22"/>
        </w:rPr>
        <w:t xml:space="preserve">test</w:t>
      </w:r>
      <w:r>
        <w:rPr>
          <w:rFonts w:ascii="Times New Roman" w:cs="Times New Roman" w:eastAsia="Times New Roman" w:hAnsi="Times New Roman"/>
          <w:sz w:val="22"/>
          <w:szCs w:val="22"/>
        </w:rPr>
        <w:t xml:space="preserve"> with real memorization experiments, then twice repair), a new calibration strategy (post-cutoff items are clean by construction), and a new design theory (freshness and repeated draws purchase identification).</w:t>
      </w:r>
    </w:p>
    <w:p>
      <w:pPr>
        <w:spacing w:after="120" w:line="300"/>
        <w:jc w:val="both"/>
      </w:pPr>
      <w:r>
        <w:rPr>
          <w:rFonts w:ascii="Times New Roman" w:cs="Times New Roman" w:eastAsia="Times New Roman" w:hAnsi="Times New Roman"/>
          <w:b/>
          <w:bCs/>
          <w:sz w:val="22"/>
          <w:szCs w:val="22"/>
        </w:rPr>
        <w:t xml:space="preserve">Contributions.</w:t>
      </w:r>
    </w:p>
    <w:p>
      <w:pPr>
        <w:pStyle w:val="ListParagraph"/>
        <w:numPr>
          <w:ilvl w:val="0"/>
          <w:numId w:val="2"/>
        </w:numPr>
        <w:spacing w:after="60"/>
        <w:jc w:val="both"/>
      </w:pPr>
      <w:r>
        <w:rPr>
          <w:rFonts w:ascii="Times New Roman" w:cs="Times New Roman" w:eastAsia="Times New Roman" w:hAnsi="Times New Roman"/>
          <w:sz w:val="22"/>
          <w:szCs w:val="22"/>
        </w:rPr>
        <w:t xml:space="preserve">The reduction: a potential-outcomes formulation of benchmark scores under latent contamination, with the estimand (the clean score θ) and its identification failure stated precisely (§3).</w:t>
      </w:r>
    </w:p>
    <w:p>
      <w:pPr>
        <w:pStyle w:val="ListParagraph"/>
        <w:numPr>
          <w:ilvl w:val="0"/>
          <w:numId w:val="2"/>
        </w:numPr>
        <w:spacing w:after="60"/>
        <w:jc w:val="both"/>
      </w:pPr>
      <w:r>
        <w:rPr>
          <w:rFonts w:ascii="Times New Roman" w:cs="Times New Roman" w:eastAsia="Times New Roman" w:hAnsi="Times New Roman"/>
          <w:sz w:val="22"/>
          <w:szCs w:val="22"/>
        </w:rPr>
        <w:t xml:space="preserve">The Contamination Sensitivity Model CSM±(Λ⁺, Λ⁻, π, Γ_sel, ε) and sharp partial identification of θ, including grouped (source-level), stratified (provenance-aware), selection-bounded (Rosenbaum-bridge), and spillover-robust variants; every axiom has a measured counterpart (§4).</w:t>
      </w:r>
    </w:p>
    <w:p>
      <w:pPr>
        <w:pStyle w:val="ListParagraph"/>
        <w:numPr>
          <w:ilvl w:val="0"/>
          <w:numId w:val="2"/>
        </w:numPr>
        <w:spacing w:after="60"/>
        <w:jc w:val="both"/>
      </w:pPr>
      <w:r>
        <w:rPr>
          <w:rFonts w:ascii="Times New Roman" w:cs="Times New Roman" w:eastAsia="Times New Roman" w:hAnsi="Times New Roman"/>
          <w:sz w:val="22"/>
          <w:szCs w:val="22"/>
        </w:rPr>
        <w:t xml:space="preserve">The contamination robustness value </w:t>
      </w:r>
      <w:r>
        <w:rPr>
          <w:rFonts w:ascii="Times New Roman" w:cs="Times New Roman" w:eastAsia="Times New Roman" w:hAnsi="Times New Roman"/>
          <w:b/>
          <w:bCs/>
          <w:sz w:val="22"/>
          <w:szCs w:val="22"/>
        </w:rPr>
        <w:t xml:space="preserve">Γ*</w:t>
      </w:r>
      <w:r>
        <w:rPr>
          <w:rFonts w:ascii="Times New Roman" w:cs="Times New Roman" w:eastAsia="Times New Roman" w:hAnsi="Times New Roman"/>
          <w:sz w:val="22"/>
          <w:szCs w:val="22"/>
        </w:rPr>
        <w:t xml:space="preserve"> and the contamination frontier, the evaluation analogue of the E-value; a claim is reported with the minimum contamination strength that overturns it (§5).</w:t>
      </w:r>
    </w:p>
    <w:p>
      <w:pPr>
        <w:pStyle w:val="ListParagraph"/>
        <w:numPr>
          <w:ilvl w:val="0"/>
          <w:numId w:val="2"/>
        </w:numPr>
        <w:spacing w:after="60"/>
        <w:jc w:val="both"/>
      </w:pPr>
      <w:r>
        <w:rPr>
          <w:rFonts w:ascii="Times New Roman" w:cs="Times New Roman" w:eastAsia="Times New Roman" w:hAnsi="Times New Roman"/>
          <w:sz w:val="22"/>
          <w:szCs w:val="22"/>
        </w:rPr>
        <w:t xml:space="preserve">Estimation theory: consistency and √n-normality of Γ̂*, validity of the paired item bootstrap, a two-sided finite-draw bias analysis with a practical prescription (sharp bounds require ≥ 10 draws per item), and FDR-certified robustness across claim corpora (§6).</w:t>
      </w:r>
    </w:p>
    <w:p>
      <w:pPr>
        <w:pStyle w:val="ListParagraph"/>
        <w:numPr>
          <w:ilvl w:val="0"/>
          <w:numId w:val="2"/>
        </w:numPr>
        <w:spacing w:after="60"/>
        <w:jc w:val="both"/>
      </w:pPr>
      <w:r>
        <w:rPr>
          <w:rFonts w:ascii="Times New Roman" w:cs="Times New Roman" w:eastAsia="Times New Roman" w:hAnsi="Times New Roman"/>
          <w:sz w:val="22"/>
          <w:szCs w:val="22"/>
        </w:rPr>
        <w:t xml:space="preserve">Ground-truth validation with </w:t>
      </w:r>
      <w:r>
        <w:rPr>
          <w:rFonts w:ascii="Times New Roman" w:cs="Times New Roman" w:eastAsia="Times New Roman" w:hAnsi="Times New Roman"/>
          <w:b/>
          <w:bCs/>
          <w:sz w:val="22"/>
          <w:szCs w:val="22"/>
        </w:rPr>
        <w:t xml:space="preserve">emergent</w:t>
      </w:r>
      <w:r>
        <w:rPr>
          <w:rFonts w:ascii="Times New Roman" w:cs="Times New Roman" w:eastAsia="Times New Roman" w:hAnsi="Times New Roman"/>
          <w:sz w:val="22"/>
          <w:szCs w:val="22"/>
        </w:rPr>
        <w:t xml:space="preserve"> contamination (models actually trained on leaked items), which confirmed the channel shape, </w:t>
      </w:r>
      <w:r>
        <w:rPr>
          <w:rFonts w:ascii="Times New Roman" w:cs="Times New Roman" w:eastAsia="Times New Roman" w:hAnsi="Times New Roman"/>
          <w:i/>
          <w:iCs/>
          <w:sz w:val="22"/>
          <w:szCs w:val="22"/>
        </w:rPr>
        <w:t xml:space="preserve">falsified</w:t>
      </w:r>
      <w:r>
        <w:rPr>
          <w:rFonts w:ascii="Times New Roman" w:cs="Times New Roman" w:eastAsia="Times New Roman" w:hAnsi="Times New Roman"/>
          <w:sz w:val="22"/>
          <w:szCs w:val="22"/>
        </w:rPr>
        <w:t xml:space="preserve"> strict monotonicity (up to 27% of leaked items are hurt), and surfaced a spillover channel; both repairs are part of the model, not the rhetoric (§7).</w:t>
      </w:r>
    </w:p>
    <w:p>
      <w:pPr>
        <w:pStyle w:val="ListParagraph"/>
        <w:numPr>
          <w:ilvl w:val="0"/>
          <w:numId w:val="2"/>
        </w:numPr>
        <w:spacing w:after="60"/>
        <w:jc w:val="both"/>
      </w:pPr>
      <w:r>
        <w:rPr>
          <w:rFonts w:ascii="Times New Roman" w:cs="Times New Roman" w:eastAsia="Times New Roman" w:hAnsi="Times New Roman"/>
          <w:sz w:val="22"/>
          <w:szCs w:val="22"/>
        </w:rPr>
        <w:t xml:space="preserve">Empirically calibrated Λ priors from the published contamination literature, with a meta-analytic central range [0.1, 0.45] (§8).</w:t>
      </w:r>
    </w:p>
    <w:p>
      <w:pPr>
        <w:pStyle w:val="ListParagraph"/>
        <w:numPr>
          <w:ilvl w:val="0"/>
          <w:numId w:val="2"/>
        </w:numPr>
        <w:spacing w:after="60"/>
        <w:jc w:val="both"/>
      </w:pPr>
      <w:r>
        <w:rPr>
          <w:rFonts w:ascii="Times New Roman" w:cs="Times New Roman" w:eastAsia="Times New Roman" w:hAnsi="Times New Roman"/>
          <w:sz w:val="22"/>
          <w:szCs w:val="22"/>
        </w:rPr>
        <w:t xml:space="preserve">Exploratory case studies on two real benchmarks (a six-model TSFM transfer atlas and Open LLM Leaderboard ARC-Challenge details), plus a pre-registered protocol for the confirmatory audit (§9).</w:t>
      </w:r>
    </w:p>
    <w:p>
      <w:pPr>
        <w:pStyle w:val="ListParagraph"/>
        <w:numPr>
          <w:ilvl w:val="0"/>
          <w:numId w:val="2"/>
        </w:numPr>
        <w:spacing w:after="60"/>
        <w:jc w:val="both"/>
      </w:pPr>
      <w:r>
        <w:rPr>
          <w:rFonts w:ascii="Times New Roman" w:cs="Times New Roman" w:eastAsia="Times New Roman" w:hAnsi="Times New Roman"/>
          <w:sz w:val="22"/>
          <w:szCs w:val="22"/>
        </w:rPr>
        <w:t xml:space="preserve">Design sensitivity: quantified prescriptions for benchmark builders (§10), and an open, tested, one-command-reproducible library.</w:t>
      </w:r>
    </w:p>
    <w:p>
      <w:pPr>
        <w:pStyle w:val="Heading1"/>
      </w:pPr>
      <w:r>
        <w:rPr>
          <w:rFonts w:ascii="Times New Roman" w:cs="Times New Roman" w:eastAsia="Times New Roman" w:hAnsi="Times New Roman"/>
          <w:sz w:val="22"/>
          <w:szCs w:val="22"/>
        </w:rPr>
        <w:t xml:space="preserve">2. Related work</w:t>
      </w:r>
    </w:p>
    <w:p>
      <w:pPr>
        <w:spacing w:after="120" w:line="300"/>
        <w:jc w:val="both"/>
      </w:pPr>
      <w:r>
        <w:rPr>
          <w:rFonts w:ascii="Times New Roman" w:cs="Times New Roman" w:eastAsia="Times New Roman" w:hAnsi="Times New Roman"/>
          <w:b/>
          <w:bCs/>
          <w:sz w:val="22"/>
          <w:szCs w:val="22"/>
        </w:rPr>
        <w:t xml:space="preserve">Contamination detection and quantification.</w:t>
      </w:r>
      <w:r>
        <w:rPr>
          <w:rFonts w:ascii="Times New Roman" w:cs="Times New Roman" w:eastAsia="Times New Roman" w:hAnsi="Times New Roman"/>
          <w:sz w:val="22"/>
          <w:szCs w:val="22"/>
        </w:rPr>
        <w:t xml:space="preserve"> Surveys catalogue detection methods and document their fragile assumptions [2404.00699; 2410.18966; 2406.04244]. Magar &amp; Schwartz [2022] introduced controlled-injection quantification (memorization vs exploitation); dose-response studies show lift grows with capacity and shrinks with unique-corpus size [2601.04301]; post-training can </w:t>
      </w:r>
      <w:r>
        <w:rPr>
          <w:rFonts w:ascii="Times New Roman" w:cs="Times New Roman" w:eastAsia="Times New Roman" w:hAnsi="Times New Roman"/>
          <w:i/>
          <w:iCs/>
          <w:sz w:val="22"/>
          <w:szCs w:val="22"/>
        </w:rPr>
        <w:t xml:space="preserve">reverse</w:t>
      </w:r>
      <w:r>
        <w:rPr>
          <w:rFonts w:ascii="Times New Roman" w:cs="Times New Roman" w:eastAsia="Times New Roman" w:hAnsi="Times New Roman"/>
          <w:sz w:val="22"/>
          <w:szCs w:val="22"/>
        </w:rPr>
        <w:t xml:space="preserve"> lift [2601.06103]. ConStat [Dekoninck et al., NeurIPS 2024] is the strongest performance-only method: a statistical test and effect estimate requiring reference benchmarks and reference models assumed clean. CapBencher [2505.18102] builds overfitting alarms into new benchmarks; inference-time decontamination [2601.19334] mitigates at evaluation time for open models. </w:t>
      </w:r>
      <w:r>
        <w:rPr>
          <w:rFonts w:ascii="Times New Roman" w:cs="Times New Roman" w:eastAsia="Times New Roman" w:hAnsi="Times New Roman"/>
          <w:b/>
          <w:bCs/>
          <w:sz w:val="22"/>
          <w:szCs w:val="22"/>
        </w:rPr>
        <w:t xml:space="preserve">None of these answers the claim-level question</w:t>
      </w:r>
      <w:r>
        <w:rPr>
          <w:rFonts w:ascii="Times New Roman" w:cs="Times New Roman" w:eastAsia="Times New Roman" w:hAnsi="Times New Roman"/>
          <w:sz w:val="22"/>
          <w:szCs w:val="22"/>
        </w:rPr>
        <w:t xml:space="preserve">; all require assets (references, model access, benchmark redesign) that legacy claims and closed models do not offer. We consume their effect estimates as calibration inputs and use ConStat as the natural baseline and convergent-validity check.</w:t>
      </w:r>
    </w:p>
    <w:p>
      <w:pPr>
        <w:spacing w:after="120" w:line="300"/>
        <w:jc w:val="both"/>
      </w:pPr>
      <w:r>
        <w:rPr>
          <w:rFonts w:ascii="Times New Roman" w:cs="Times New Roman" w:eastAsia="Times New Roman" w:hAnsi="Times New Roman"/>
          <w:b/>
          <w:bCs/>
          <w:sz w:val="22"/>
          <w:szCs w:val="22"/>
        </w:rPr>
        <w:t xml:space="preserve">Leaderboard statistics.</w:t>
      </w:r>
      <w:r>
        <w:rPr>
          <w:rFonts w:ascii="Times New Roman" w:cs="Times New Roman" w:eastAsia="Times New Roman" w:hAnsi="Times New Roman"/>
          <w:sz w:val="22"/>
          <w:szCs w:val="22"/>
        </w:rPr>
        <w:t xml:space="preserve"> Rank intervals [2606.08679] give sampling-uncertainty-aware rankings, our Λ = 0 special case. Perturbation and social-choice analyses [2605.15761; 2605.23628; 2402.01781] document instability empirically without an inferential model. Psychometric and efficiency work [2402.14992; 2501.17200] models items, not contamination.</w:t>
      </w:r>
    </w:p>
    <w:p>
      <w:pPr>
        <w:spacing w:after="120" w:line="300"/>
        <w:jc w:val="both"/>
      </w:pPr>
      <w:r>
        <w:rPr>
          <w:rFonts w:ascii="Times New Roman" w:cs="Times New Roman" w:eastAsia="Times New Roman" w:hAnsi="Times New Roman"/>
          <w:b/>
          <w:bCs/>
          <w:sz w:val="22"/>
          <w:szCs w:val="22"/>
        </w:rPr>
        <w:t xml:space="preserve">Causal sensitivity analysis.</w:t>
      </w:r>
      <w:r>
        <w:rPr>
          <w:rFonts w:ascii="Times New Roman" w:cs="Times New Roman" w:eastAsia="Times New Roman" w:hAnsi="Times New Roman"/>
          <w:sz w:val="22"/>
          <w:szCs w:val="22"/>
        </w:rPr>
        <w:t xml:space="preserve"> Rosenbaum bounds, marginal sensitivity models, E-values, and omitted-variable-bias frameworks [Rosenbaum 1987; Tan 2006; VanderWeele &amp; Ding 2017; 2112.13398; 2403.14152; 2602.24261] supply our machinery; none has been applied to evaluation. The construct-validity programme [2511.04703; 2510.23191; 2604.03244] argues evaluation needs measurement theory but supplies no estimator; we supply one.</w:t>
      </w:r>
    </w:p>
    <w:p>
      <w:pPr>
        <w:pStyle w:val="Heading1"/>
      </w:pPr>
      <w:r>
        <w:rPr>
          <w:rFonts w:ascii="Times New Roman" w:cs="Times New Roman" w:eastAsia="Times New Roman" w:hAnsi="Times New Roman"/>
          <w:sz w:val="22"/>
          <w:szCs w:val="22"/>
        </w:rPr>
        <w:t xml:space="preserve">3. Setup: the clean score is partially identified</w:t>
      </w:r>
    </w:p>
    <w:p>
      <w:pPr>
        <w:spacing w:after="120" w:line="300"/>
        <w:jc w:val="both"/>
      </w:pPr>
      <w:r>
        <w:rPr>
          <w:rFonts w:ascii="Times New Roman" w:cs="Times New Roman" w:eastAsia="Times New Roman" w:hAnsi="Times New Roman"/>
          <w:sz w:val="22"/>
          <w:szCs w:val="22"/>
        </w:rPr>
        <w:t xml:space="preserve">A benchmark has items i = 1…n; fix a model m. Let y*ᵢ ∈ [0,1] be the </w:t>
      </w:r>
      <w:r>
        <w:rPr>
          <w:rFonts w:ascii="Times New Roman" w:cs="Times New Roman" w:eastAsia="Times New Roman" w:hAnsi="Times New Roman"/>
          <w:b/>
          <w:bCs/>
          <w:sz w:val="22"/>
          <w:szCs w:val="22"/>
        </w:rPr>
        <w:t xml:space="preserve">clean score</w:t>
      </w:r>
      <w:r>
        <w:rPr>
          <w:rFonts w:ascii="Times New Roman" w:cs="Times New Roman" w:eastAsia="Times New Roman" w:hAnsi="Times New Roman"/>
          <w:sz w:val="22"/>
          <w:szCs w:val="22"/>
        </w:rPr>
        <w:t xml:space="preserve"> (the counterfactual per-item score had item i never entered training) and yᵢ the observed score; cᵢ ∈ {0,1} the latent contamination indicator. The estimand is θ = (1/n) Σ y*ᵢ. Leaderboards report μ̂ = (1/n) Σ yᵢ and treat it as θ, which requires c ≡ 0. Since items popular enough to benchmark are popular enough to scrape, and that popularity correlates with the skill being measured, c ⊥̸ y*: textbook confounding, with c unobservable. θ is partially identified; the honest report is its identified set. (Full formalism and proofs: Appendix A.)</w:t>
      </w:r>
    </w:p>
    <w:p>
      <w:pPr>
        <w:pStyle w:val="Heading1"/>
      </w:pPr>
      <w:r>
        <w:rPr>
          <w:rFonts w:ascii="Times New Roman" w:cs="Times New Roman" w:eastAsia="Times New Roman" w:hAnsi="Times New Roman"/>
          <w:sz w:val="22"/>
          <w:szCs w:val="22"/>
        </w:rPr>
        <w:t xml:space="preserve">4. The contamination sensitivity model</w:t>
      </w:r>
    </w:p>
    <w:p>
      <w:pPr>
        <w:spacing w:after="120" w:line="300"/>
        <w:jc w:val="both"/>
      </w:pPr>
      <w:r>
        <w:rPr>
          <w:rFonts w:ascii="Times New Roman" w:cs="Times New Roman" w:eastAsia="Times New Roman" w:hAnsi="Times New Roman"/>
          <w:b/>
          <w:bCs/>
          <w:sz w:val="22"/>
          <w:szCs w:val="22"/>
        </w:rPr>
        <w:t xml:space="preserve">CSM(Λ, π)</w:t>
      </w:r>
      <w:r>
        <w:rPr>
          <w:rFonts w:ascii="Times New Roman" w:cs="Times New Roman" w:eastAsia="Times New Roman" w:hAnsi="Times New Roman"/>
          <w:sz w:val="22"/>
          <w:szCs w:val="22"/>
        </w:rPr>
        <w:t xml:space="preserve"> (one-sided core): (A1) 0 ≤ yᵢ − y*ᵢ ≤ cᵢ·Λ·(1 − y*ᵢ): leakage closes at most a fraction Λ of an item's headroom; (A2) mean(c) ≤ π. Λ = 1 is full memorization; both extremes are </w:t>
      </w:r>
      <w:r>
        <w:rPr>
          <w:rFonts w:ascii="Times New Roman" w:cs="Times New Roman" w:eastAsia="Times New Roman" w:hAnsi="Times New Roman"/>
          <w:i/>
          <w:iCs/>
          <w:sz w:val="22"/>
          <w:szCs w:val="22"/>
        </w:rPr>
        <w:t xml:space="preserve">observed</w:t>
      </w:r>
      <w:r>
        <w:rPr>
          <w:rFonts w:ascii="Times New Roman" w:cs="Times New Roman" w:eastAsia="Times New Roman" w:hAnsi="Times New Roman"/>
          <w:sz w:val="22"/>
          <w:szCs w:val="22"/>
        </w:rPr>
        <w:t xml:space="preserve"> in our experiments (§7).</w:t>
      </w:r>
    </w:p>
    <w:p>
      <w:pPr>
        <w:spacing w:after="120" w:line="300"/>
        <w:jc w:val="both"/>
      </w:pPr>
      <w:r>
        <w:rPr>
          <w:rFonts w:ascii="Times New Roman" w:cs="Times New Roman" w:eastAsia="Times New Roman" w:hAnsi="Times New Roman"/>
          <w:b/>
          <w:bCs/>
          <w:sz w:val="22"/>
          <w:szCs w:val="22"/>
        </w:rPr>
        <w:t xml:space="preserve">Proposition 1 (sharp identified set).</w:t>
      </w:r>
      <w:r>
        <w:rPr>
          <w:rFonts w:ascii="Times New Roman" w:cs="Times New Roman" w:eastAsia="Times New Roman" w:hAnsi="Times New Roman"/>
          <w:sz w:val="22"/>
          <w:szCs w:val="22"/>
        </w:rPr>
        <w:t xml:space="preserve"> θ ∈ [μ̂ − B(Λ,π), μ̂] with B = the mean of the ⌈πn⌉ largest per-item deflation capacities dᵢ(Λ) = yᵢ − max(0, (yᵢ−Λ)/(1−Λ)); the bound is attained. </w:t>
      </w:r>
      <w:r>
        <w:rPr>
          <w:rFonts w:ascii="Times New Roman" w:cs="Times New Roman" w:eastAsia="Times New Roman" w:hAnsi="Times New Roman"/>
          <w:b/>
          <w:bCs/>
          <w:sz w:val="22"/>
          <w:szCs w:val="22"/>
        </w:rPr>
        <w:t xml:space="preserve">Corollary 1:</w:t>
      </w:r>
      <w:r>
        <w:rPr>
          <w:rFonts w:ascii="Times New Roman" w:cs="Times New Roman" w:eastAsia="Times New Roman" w:hAnsi="Times New Roman"/>
          <w:sz w:val="22"/>
          <w:szCs w:val="22"/>
        </w:rPr>
        <w:t xml:space="preserve"> width ≤ πΛ, the worst per-unit-budget bias being exactly Λ at items with yᵢ = Λ. </w:t>
      </w:r>
      <w:r>
        <w:rPr>
          <w:rFonts w:ascii="Times New Roman" w:cs="Times New Roman" w:eastAsia="Times New Roman" w:hAnsi="Times New Roman"/>
          <w:b/>
          <w:bCs/>
          <w:sz w:val="22"/>
          <w:szCs w:val="22"/>
        </w:rPr>
        <w:t xml:space="preserve">Corollary 2:</w:t>
      </w:r>
      <w:r>
        <w:rPr>
          <w:rFonts w:ascii="Times New Roman" w:cs="Times New Roman" w:eastAsia="Times New Roman" w:hAnsi="Times New Roman"/>
          <w:sz w:val="22"/>
          <w:szCs w:val="22"/>
        </w:rPr>
        <w:t xml:space="preserve"> Λ=0 recovers sampling-only analysis (rank intervals nest here). Figure 1 plots the identified set against Λ at three budgets π on data with known ground truth; the true clean score lies inside the band at the true (Λ, π), and the band collapses to the point estimate as Λ → 0.</w:t>
      </w:r>
    </w:p>
    <w:p>
      <w:pPr>
        <w:spacing w:after="60" w:before="160"/>
        <w:jc w:val="center"/>
      </w:pPr>
      <w:r>
        <w:drawing>
          <wp:inline distT="0" distB="0" distL="0" distR="0">
            <wp:extent cx="5715000" cy="3429000"/>
            <wp:effectExtent t="0" r="0" b="0" l="0"/>
            <wp:docPr id="1" name="f2_identified_set.png" descr="Figure 1: The sharp identified set for the clean score as the assumed lift strength Λ varies, at budgets π ∈ {0.05, 0.15, 0.3} (synthetic data with known ground truth). The observed score (dashed) is the upper endpoint; the true clean score θ (solid) lies inside the band at the true (Λ, π), and the set collapses to the observed mean as Λ → 0." title="Figure 1: The sharp identified set for the clean score as 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429000"/>
                    </a:xfrm>
                    <a:prstGeom prst="rect">
                      <a:avLst/>
                    </a:prstGeom>
                  </pic:spPr>
                </pic:pic>
              </a:graphicData>
            </a:graphic>
          </wp:inline>
        </w:drawing>
      </w:r>
    </w:p>
    <w:p>
      <w:pPr>
        <w:spacing w:after="240"/>
        <w:jc w:val="both"/>
      </w:pPr>
      <w:r>
        <w:rPr>
          <w:rFonts w:ascii="Times New Roman" w:cs="Times New Roman" w:eastAsia="Times New Roman" w:hAnsi="Times New Roman"/>
          <w:sz w:val="19"/>
          <w:szCs w:val="19"/>
        </w:rPr>
        <w:t xml:space="preserve">Figure 1: The sharp identified set for the clean score as the assumed lift strength Λ varies, at budgets π ∈ {0.05, 0.15, 0.3} (synthetic data with known ground truth). The observed score (dashed) is the upper endpoint; the true clean score θ (solid) lies inside the band at the true (Λ, π), and the set collapses to the observed mean as Λ → 0.</w:t>
      </w:r>
    </w:p>
    <w:p>
      <w:pPr>
        <w:spacing w:after="120" w:line="300"/>
        <w:jc w:val="both"/>
      </w:pPr>
      <w:r>
        <w:rPr>
          <w:rFonts w:ascii="Times New Roman" w:cs="Times New Roman" w:eastAsia="Times New Roman" w:hAnsi="Times New Roman"/>
          <w:b/>
          <w:bCs/>
          <w:sz w:val="22"/>
          <w:szCs w:val="22"/>
        </w:rPr>
        <w:t xml:space="preserve">Regimes.</w:t>
      </w:r>
      <w:r>
        <w:rPr>
          <w:rFonts w:ascii="Times New Roman" w:cs="Times New Roman" w:eastAsia="Times New Roman" w:hAnsi="Times New Roman"/>
          <w:sz w:val="22"/>
          <w:szCs w:val="22"/>
        </w:rPr>
        <w:t xml:space="preserve"> Continuous or repeated-measure per-item scores (R1) admit the sharp knapsack. Single-draw binary scores (R2) do </w:t>
      </w:r>
      <w:r>
        <w:rPr>
          <w:rFonts w:ascii="Times New Roman" w:cs="Times New Roman" w:eastAsia="Times New Roman" w:hAnsi="Times New Roman"/>
          <w:b/>
          <w:bCs/>
          <w:sz w:val="22"/>
          <w:szCs w:val="22"/>
        </w:rPr>
        <w:t xml:space="preserve">not</w:t>
      </w:r>
      <w:r>
        <w:rPr>
          <w:rFonts w:ascii="Times New Roman" w:cs="Times New Roman" w:eastAsia="Times New Roman" w:hAnsi="Times New Roman"/>
          <w:sz w:val="22"/>
          <w:szCs w:val="22"/>
        </w:rPr>
        <w:t xml:space="preserve">: dᵢ(0)=dᵢ(1)=0 for all Λ&lt;1 with a jump at Λ=1, so the sharp machinery is vacuous-with-a- discontinuity (it reports "only total memorization flips this claim"), and the honest bound is the simple population bound with width πΛ, where (Λ, π) are identified only through their product. The library auto-detects the regime; richer measurement </w:t>
      </w:r>
      <w:r>
        <w:rPr>
          <w:rFonts w:ascii="Times New Roman" w:cs="Times New Roman" w:eastAsia="Times New Roman" w:hAnsi="Times New Roman"/>
          <w:i/>
          <w:iCs/>
          <w:sz w:val="22"/>
          <w:szCs w:val="22"/>
        </w:rPr>
        <w:t xml:space="preserve">strictly sharpens identification</w:t>
      </w:r>
      <w:r>
        <w:rPr>
          <w:rFonts w:ascii="Times New Roman" w:cs="Times New Roman" w:eastAsia="Times New Roman" w:hAnsi="Times New Roman"/>
          <w:sz w:val="22"/>
          <w:szCs w:val="22"/>
        </w:rPr>
        <w:t xml:space="preserve">, a design lever we quantify in §10.</w:t>
      </w:r>
    </w:p>
    <w:p>
      <w:pPr>
        <w:spacing w:after="120" w:line="300"/>
        <w:jc w:val="both"/>
      </w:pPr>
      <w:r>
        <w:rPr>
          <w:rFonts w:ascii="Times New Roman" w:cs="Times New Roman" w:eastAsia="Times New Roman" w:hAnsi="Times New Roman"/>
          <w:b/>
          <w:bCs/>
          <w:sz w:val="22"/>
          <w:szCs w:val="22"/>
        </w:rPr>
        <w:t xml:space="preserve">Empirically forced extensions</w:t>
      </w:r>
      <w:r>
        <w:rPr>
          <w:rFonts w:ascii="Times New Roman" w:cs="Times New Roman" w:eastAsia="Times New Roman" w:hAnsi="Times New Roman"/>
          <w:sz w:val="22"/>
          <w:szCs w:val="22"/>
        </w:rPr>
        <w:t xml:space="preserve"> (each falsifiable, each measured in §7): </w:t>
      </w:r>
      <w:r>
        <w:rPr>
          <w:rFonts w:ascii="Times New Roman" w:cs="Times New Roman" w:eastAsia="Times New Roman" w:hAnsi="Times New Roman"/>
          <w:b/>
          <w:bCs/>
          <w:sz w:val="22"/>
          <w:szCs w:val="22"/>
        </w:rPr>
        <w:t xml:space="preserve">U1 two-sided</w:t>
      </w:r>
      <w:r>
        <w:rPr>
          <w:rFonts w:ascii="Times New Roman" w:cs="Times New Roman" w:eastAsia="Times New Roman" w:hAnsi="Times New Roman"/>
          <w:sz w:val="22"/>
          <w:szCs w:val="22"/>
        </w:rPr>
        <w:t xml:space="preserve">: leakage can hurt (stale memorization, post-training interference [2601.06103]): −Λ⁻y*ᵢ ≤ yᵢ−y*ᵢ; the worst case for A ≻ B becomes </w:t>
      </w:r>
      <w:r>
        <w:rPr>
          <w:rFonts w:ascii="Times New Roman" w:cs="Times New Roman" w:eastAsia="Times New Roman" w:hAnsi="Times New Roman"/>
          <w:i/>
          <w:iCs/>
          <w:sz w:val="22"/>
          <w:szCs w:val="22"/>
        </w:rPr>
        <w:t xml:space="preserve">A inflated and B deflated</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U2 grouped</w:t>
      </w:r>
      <w:r>
        <w:rPr>
          <w:rFonts w:ascii="Times New Roman" w:cs="Times New Roman" w:eastAsia="Times New Roman" w:hAnsi="Times New Roman"/>
          <w:sz w:val="22"/>
          <w:szCs w:val="22"/>
        </w:rPr>
        <w:t xml:space="preserve">: datasets leak whole; all-or-nothing group budgets, bounded by the fractional knapsack, never wider than item-level. </w:t>
      </w:r>
      <w:r>
        <w:rPr>
          <w:rFonts w:ascii="Times New Roman" w:cs="Times New Roman" w:eastAsia="Times New Roman" w:hAnsi="Times New Roman"/>
          <w:b/>
          <w:bCs/>
          <w:sz w:val="22"/>
          <w:szCs w:val="22"/>
        </w:rPr>
        <w:t xml:space="preserve">U3 stratified</w:t>
      </w:r>
      <w:r>
        <w:rPr>
          <w:rFonts w:ascii="Times New Roman" w:cs="Times New Roman" w:eastAsia="Times New Roman" w:hAnsi="Times New Roman"/>
          <w:sz w:val="22"/>
          <w:szCs w:val="22"/>
        </w:rPr>
        <w:t xml:space="preserve">: post-cutoff items have cᵢ = 0 by construction; provenance metadata tightens bounds for free. </w:t>
      </w:r>
      <w:r>
        <w:rPr>
          <w:rFonts w:ascii="Times New Roman" w:cs="Times New Roman" w:eastAsia="Times New Roman" w:hAnsi="Times New Roman"/>
          <w:b/>
          <w:bCs/>
          <w:sz w:val="22"/>
          <w:szCs w:val="22"/>
        </w:rPr>
        <w:t xml:space="preserve">U4 spillover</w:t>
      </w:r>
      <w:r>
        <w:rPr>
          <w:rFonts w:ascii="Times New Roman" w:cs="Times New Roman" w:eastAsia="Times New Roman" w:hAnsi="Times New Roman"/>
          <w:sz w:val="22"/>
          <w:szCs w:val="22"/>
        </w:rPr>
        <w:t xml:space="preserve">: training on leaked items drifts scores on clean items by a bounded ε, widening the interval symmetrically; ε is measured by twin runs and shrinks with corpus size. </w:t>
      </w:r>
      <w:r>
        <w:rPr>
          <w:rFonts w:ascii="Times New Roman" w:cs="Times New Roman" w:eastAsia="Times New Roman" w:hAnsi="Times New Roman"/>
          <w:b/>
          <w:bCs/>
          <w:sz w:val="22"/>
          <w:szCs w:val="22"/>
        </w:rPr>
        <w:t xml:space="preserve">Proposition 3 (bridge)</w:t>
      </w:r>
      <w:r>
        <w:rPr>
          <w:rFonts w:ascii="Times New Roman" w:cs="Times New Roman" w:eastAsia="Times New Roman" w:hAnsi="Times New Roman"/>
          <w:sz w:val="22"/>
          <w:szCs w:val="22"/>
        </w:rPr>
        <w:t xml:space="preserve">: bounding the </w:t>
      </w:r>
      <w:r>
        <w:rPr>
          <w:rFonts w:ascii="Times New Roman" w:cs="Times New Roman" w:eastAsia="Times New Roman" w:hAnsi="Times New Roman"/>
          <w:i/>
          <w:iCs/>
          <w:sz w:val="22"/>
          <w:szCs w:val="22"/>
        </w:rPr>
        <w:t xml:space="preserve">selection odds</w:t>
      </w:r>
      <w:r>
        <w:rPr>
          <w:rFonts w:ascii="Times New Roman" w:cs="Times New Roman" w:eastAsia="Times New Roman" w:hAnsi="Times New Roman"/>
          <w:sz w:val="22"/>
          <w:szCs w:val="22"/>
        </w:rPr>
        <w:t xml:space="preserve"> of contamination (Rosenbaum-style Γ_sel) interpolates continuously between random contamination (bias πd̄) and the adversarial top-k (Γ_sel = ∞): the adversarial bound is an endpoint of a classical family, and the endpoints differ by ~1.5× at reference settings, so a defensible Γ_sel assumption buys real tightening.</w:t>
      </w:r>
    </w:p>
    <w:p>
      <w:pPr>
        <w:pStyle w:val="Heading1"/>
      </w:pPr>
      <w:r>
        <w:rPr>
          <w:rFonts w:ascii="Times New Roman" w:cs="Times New Roman" w:eastAsia="Times New Roman" w:hAnsi="Times New Roman"/>
          <w:sz w:val="22"/>
          <w:szCs w:val="22"/>
        </w:rPr>
        <w:t xml:space="preserve">5. The contamination robustness value</w:t>
      </w:r>
    </w:p>
    <w:p>
      <w:pPr>
        <w:spacing w:after="120" w:line="300"/>
        <w:jc w:val="both"/>
      </w:pPr>
      <w:r>
        <w:rPr>
          <w:rFonts w:ascii="Times New Roman" w:cs="Times New Roman" w:eastAsia="Times New Roman" w:hAnsi="Times New Roman"/>
          <w:sz w:val="22"/>
          <w:szCs w:val="22"/>
        </w:rPr>
        <w:t xml:space="preserve">For a claim A ≻ B with margin Δ̂, contamination only helps the worst case run one way (A up, B down under U1), and the claim is </w:t>
      </w:r>
      <w:r>
        <w:rPr>
          <w:rFonts w:ascii="Times New Roman" w:cs="Times New Roman" w:eastAsia="Times New Roman" w:hAnsi="Times New Roman"/>
          <w:b/>
          <w:bCs/>
          <w:sz w:val="22"/>
          <w:szCs w:val="22"/>
        </w:rPr>
        <w:t xml:space="preserve">robust at CSM(Λ,π)</w:t>
      </w:r>
      <w:r>
        <w:rPr>
          <w:rFonts w:ascii="Times New Roman" w:cs="Times New Roman" w:eastAsia="Times New Roman" w:hAnsi="Times New Roman"/>
          <w:sz w:val="22"/>
          <w:szCs w:val="22"/>
        </w:rPr>
        <w:t xml:space="preserve"> iff Δ̂ exceeds the worst-case bias (Proposition 2).</w:t>
      </w:r>
    </w:p>
    <w:p>
      <w:pPr>
        <w:spacing w:after="120" w:line="300"/>
        <w:jc w:val="both"/>
      </w:pPr>
      <w:r>
        <w:rPr>
          <w:rFonts w:ascii="Times New Roman" w:cs="Times New Roman" w:eastAsia="Times New Roman" w:hAnsi="Times New Roman"/>
          <w:b/>
          <w:bCs/>
          <w:sz w:val="22"/>
          <w:szCs w:val="22"/>
        </w:rPr>
        <w:t xml:space="preserve">Definition.</w:t>
      </w:r>
      <w:r>
        <w:rPr>
          <w:rFonts w:ascii="Times New Roman" w:cs="Times New Roman" w:eastAsia="Times New Roman" w:hAnsi="Times New Roman"/>
          <w:sz w:val="22"/>
          <w:szCs w:val="22"/>
        </w:rPr>
        <w:t xml:space="preserve"> Γ*(π) = inf{Λ : worst-case bias ≥ Δ̂}, computed by bisection (the bias is continuous and monotone in Λ); Γ* = ∞ when the claim survives even Λ = 1 within budget. In the simple regime the closed form is the </w:t>
      </w:r>
      <w:r>
        <w:rPr>
          <w:rFonts w:ascii="Times New Roman" w:cs="Times New Roman" w:eastAsia="Times New Roman" w:hAnsi="Times New Roman"/>
          <w:b/>
          <w:bCs/>
          <w:sz w:val="22"/>
          <w:szCs w:val="22"/>
        </w:rPr>
        <w:t xml:space="preserve">contamination frontier</w:t>
      </w:r>
      <w:r>
        <w:rPr>
          <w:rFonts w:ascii="Times New Roman" w:cs="Times New Roman" w:eastAsia="Times New Roman" w:hAnsi="Times New Roman"/>
          <w:sz w:val="22"/>
          <w:szCs w:val="22"/>
        </w:rPr>
        <w:t xml:space="preserve"> πΛ(1+ρ) = Δ̂.</w:t>
      </w:r>
    </w:p>
    <w:p>
      <w:pPr>
        <w:spacing w:after="120" w:line="300"/>
        <w:jc w:val="both"/>
      </w:pPr>
      <w:r>
        <w:rPr>
          <w:rFonts w:ascii="Times New Roman" w:cs="Times New Roman" w:eastAsia="Times New Roman" w:hAnsi="Times New Roman"/>
          <w:sz w:val="22"/>
          <w:szCs w:val="22"/>
        </w:rPr>
        <w:t xml:space="preserve">Γ* is to contamination what the E-value is to unmeasured confounding: one number per claim, reportable in any results table. </w:t>
      </w:r>
      <w:r>
        <w:rPr>
          <w:rFonts w:ascii="Times New Roman" w:cs="Times New Roman" w:eastAsia="Times New Roman" w:hAnsi="Times New Roman"/>
          <w:i/>
          <w:iCs/>
          <w:sz w:val="22"/>
          <w:szCs w:val="22"/>
        </w:rPr>
        <w:t xml:space="preserve">Computing</w:t>
      </w:r>
      <w:r>
        <w:rPr>
          <w:rFonts w:ascii="Times New Roman" w:cs="Times New Roman" w:eastAsia="Times New Roman" w:hAnsi="Times New Roman"/>
          <w:sz w:val="22"/>
          <w:szCs w:val="22"/>
        </w:rPr>
        <w:t xml:space="preserve"> Γ* needs only the published scores: no corpus, reference model, or reference benchmark. </w:t>
      </w:r>
      <w:r>
        <w:rPr>
          <w:rFonts w:ascii="Times New Roman" w:cs="Times New Roman" w:eastAsia="Times New Roman" w:hAnsi="Times New Roman"/>
          <w:i/>
          <w:iCs/>
          <w:sz w:val="22"/>
          <w:szCs w:val="22"/>
        </w:rPr>
        <w:t xml:space="preserve">interpreting</w:t>
      </w:r>
      <w:r>
        <w:rPr>
          <w:rFonts w:ascii="Times New Roman" w:cs="Times New Roman" w:eastAsia="Times New Roman" w:hAnsi="Times New Roman"/>
          <w:sz w:val="22"/>
          <w:szCs w:val="22"/>
        </w:rPr>
        <w:t xml:space="preserve"> it against plausible contamination strength uses the shared public calibration table of §8 (or none at all, when the full Γ*(Λ, π) curve is reported). Per-model clean-score intervals are reported at the parameter level via Imbens–Manski (2004), with set-level intervals as the conservative alternative; corpus-level certificates use BH-FDR with Benjamini–Yekutieli as the dependence-robust sensitivity.</w:t>
      </w:r>
    </w:p>
    <w:p>
      <w:pPr>
        <w:pStyle w:val="Heading1"/>
      </w:pPr>
      <w:r>
        <w:rPr>
          <w:rFonts w:ascii="Times New Roman" w:cs="Times New Roman" w:eastAsia="Times New Roman" w:hAnsi="Times New Roman"/>
          <w:sz w:val="22"/>
          <w:szCs w:val="22"/>
        </w:rPr>
        <w:t xml:space="preserve">6. Estimation</w:t>
      </w:r>
    </w:p>
    <w:p>
      <w:pPr>
        <w:spacing w:after="120" w:line="300"/>
        <w:jc w:val="both"/>
      </w:pPr>
      <w:r>
        <w:rPr>
          <w:rFonts w:ascii="Times New Roman" w:cs="Times New Roman" w:eastAsia="Times New Roman" w:hAnsi="Times New Roman"/>
          <w:b/>
          <w:bCs/>
          <w:sz w:val="22"/>
          <w:szCs w:val="22"/>
        </w:rPr>
        <w:t xml:space="preserve">Theorem 4.</w:t>
      </w:r>
      <w:r>
        <w:rPr>
          <w:rFonts w:ascii="Times New Roman" w:cs="Times New Roman" w:eastAsia="Times New Roman" w:hAnsi="Times New Roman"/>
          <w:sz w:val="22"/>
          <w:szCs w:val="22"/>
        </w:rPr>
        <w:t xml:space="preserve"> B̂ is a trimmed-upper-mean L-statistic; under iid item sampling and continuity at the (1−π)-quantile of the d-distribution, Γ̂* is consistent and √n-asymptotically normal, and the paired item bootstrap is valid. Empirically the RMSE slope is −0.518 against the theoretical −0.5, with bias ≤ 0.0025 from n = 100 to 25,600.</w:t>
      </w:r>
    </w:p>
    <w:p>
      <w:pPr>
        <w:spacing w:after="120" w:line="300"/>
        <w:jc w:val="both"/>
      </w:pPr>
      <w:r>
        <w:rPr>
          <w:rFonts w:ascii="Times New Roman" w:cs="Times New Roman" w:eastAsia="Times New Roman" w:hAnsi="Times New Roman"/>
          <w:b/>
          <w:bCs/>
          <w:sz w:val="22"/>
          <w:szCs w:val="22"/>
        </w:rPr>
        <w:t xml:space="preserve">Finite draws.</w:t>
      </w:r>
      <w:r>
        <w:rPr>
          <w:rFonts w:ascii="Times New Roman" w:cs="Times New Roman" w:eastAsia="Times New Roman" w:hAnsi="Times New Roman"/>
          <w:sz w:val="22"/>
          <w:szCs w:val="22"/>
        </w:rPr>
        <w:t xml:space="preserve"> With m draws per item, the plug-in knapsack carries two </w:t>
      </w:r>
      <w:r>
        <w:rPr>
          <w:rFonts w:ascii="Times New Roman" w:cs="Times New Roman" w:eastAsia="Times New Roman" w:hAnsi="Times New Roman"/>
          <w:i/>
          <w:iCs/>
          <w:sz w:val="22"/>
          <w:szCs w:val="22"/>
        </w:rPr>
        <w:t xml:space="preserve">opposing</w:t>
      </w:r>
      <w:r>
        <w:rPr>
          <w:rFonts w:ascii="Times New Roman" w:cs="Times New Roman" w:eastAsia="Times New Roman" w:hAnsi="Times New Roman"/>
          <w:sz w:val="22"/>
          <w:szCs w:val="22"/>
        </w:rPr>
        <w:t xml:space="preserve"> biases: Jensen smoothing (d is concave: a minimum of two linear functions) versus selection-on-noise. Measured: −40% at m = 2, crossing to +4% at m = 10, &lt; 1% by m = 50. Joint sampling⊕identification intervals maintain ≥ 99.3% coverage throughout; the simple bound, immune to both effects, achieves 100%. </w:t>
      </w:r>
      <w:r>
        <w:rPr>
          <w:rFonts w:ascii="Times New Roman" w:cs="Times New Roman" w:eastAsia="Times New Roman" w:hAnsi="Times New Roman"/>
          <w:b/>
          <w:bCs/>
          <w:sz w:val="22"/>
          <w:szCs w:val="22"/>
        </w:rPr>
        <w:t xml:space="preserve">Prescription: sharp bounds require m ≥ 10 published draws per item.</w:t>
      </w:r>
    </w:p>
    <w:p>
      <w:pPr>
        <w:spacing w:after="120" w:line="300"/>
        <w:jc w:val="both"/>
      </w:pPr>
      <w:r>
        <w:rPr>
          <w:rFonts w:ascii="Times New Roman" w:cs="Times New Roman" w:eastAsia="Times New Roman" w:hAnsi="Times New Roman"/>
          <w:b/>
          <w:bCs/>
          <w:sz w:val="22"/>
          <w:szCs w:val="22"/>
        </w:rPr>
        <w:t xml:space="preserve">Corpus-level inference.</w:t>
      </w:r>
      <w:r>
        <w:rPr>
          <w:rFonts w:ascii="Times New Roman" w:cs="Times New Roman" w:eastAsia="Times New Roman" w:hAnsi="Times New Roman"/>
          <w:sz w:val="22"/>
          <w:szCs w:val="22"/>
        </w:rPr>
        <w:t xml:space="preserve"> Each claim receives a paired-bootstrap fragility p-value (H₀: not robust at the reference CSM; add-one corrected); Benjamini–Hochberg across the corpus yields </w:t>
      </w:r>
      <w:r>
        <w:rPr>
          <w:rFonts w:ascii="Times New Roman" w:cs="Times New Roman" w:eastAsia="Times New Roman" w:hAnsi="Times New Roman"/>
          <w:b/>
          <w:bCs/>
          <w:sz w:val="22"/>
          <w:szCs w:val="22"/>
        </w:rPr>
        <w:t xml:space="preserve">FDR-certified robustness</w:t>
      </w:r>
      <w:r>
        <w:rPr>
          <w:rFonts w:ascii="Times New Roman" w:cs="Times New Roman" w:eastAsia="Times New Roman" w:hAnsi="Times New Roman"/>
          <w:sz w:val="22"/>
          <w:szCs w:val="22"/>
        </w:rPr>
        <w:t xml:space="preserve"> (valid under the positive dependence induced by shared items).</w:t>
      </w:r>
    </w:p>
    <w:p>
      <w:pPr>
        <w:pStyle w:val="Heading1"/>
      </w:pPr>
      <w:r>
        <w:rPr>
          <w:rFonts w:ascii="Times New Roman" w:cs="Times New Roman" w:eastAsia="Times New Roman" w:hAnsi="Times New Roman"/>
          <w:sz w:val="22"/>
          <w:szCs w:val="22"/>
        </w:rPr>
        <w:t xml:space="preserve">7. Ground-truth validation with emergent contamination</w:t>
      </w:r>
    </w:p>
    <w:p>
      <w:pPr>
        <w:spacing w:after="120" w:line="300"/>
        <w:jc w:val="both"/>
      </w:pPr>
      <w:r>
        <w:rPr>
          <w:rFonts w:ascii="Times New Roman" w:cs="Times New Roman" w:eastAsia="Times New Roman" w:hAnsi="Times New Roman"/>
          <w:sz w:val="22"/>
          <w:szCs w:val="22"/>
        </w:rPr>
        <w:t xml:space="preserve">Formula-injected validation is circular: the injection satisfies A1 by construction. We therefore train </w:t>
      </w:r>
      <w:r>
        <w:rPr>
          <w:rFonts w:ascii="Times New Roman" w:cs="Times New Roman" w:eastAsia="Times New Roman" w:hAnsi="Times New Roman"/>
          <w:b/>
          <w:bCs/>
          <w:sz w:val="22"/>
          <w:szCs w:val="22"/>
        </w:rPr>
        <w:t xml:space="preserve">clean/contaminated twins</w:t>
      </w:r>
      <w:r>
        <w:rPr>
          <w:rFonts w:ascii="Times New Roman" w:cs="Times New Roman" w:eastAsia="Times New Roman" w:hAnsi="Times New Roman"/>
          <w:sz w:val="22"/>
          <w:szCs w:val="22"/>
        </w:rPr>
        <w:t xml:space="preserve"> where a fraction π of test items (with realized labels, repeated </w:t>
      </w:r>
      <w:r>
        <w:rPr>
          <w:rFonts w:ascii="Consolas" w:cs="Consolas" w:eastAsia="Consolas" w:hAnsi="Consolas"/>
          <w:sz w:val="20"/>
          <w:szCs w:val="20"/>
        </w:rPr>
        <w:t xml:space="preserve">dose</w:t>
      </w:r>
      <w:r>
        <w:rPr>
          <w:rFonts w:ascii="Times New Roman" w:cs="Times New Roman" w:eastAsia="Times New Roman" w:hAnsi="Times New Roman"/>
          <w:sz w:val="22"/>
          <w:szCs w:val="22"/>
        </w:rPr>
        <w:t xml:space="preserve"> times) is planted in the training corpus and the lift </w:t>
      </w:r>
      <w:r>
        <w:rPr>
          <w:rFonts w:ascii="Times New Roman" w:cs="Times New Roman" w:eastAsia="Times New Roman" w:hAnsi="Times New Roman"/>
          <w:i/>
          <w:iCs/>
          <w:sz w:val="22"/>
          <w:szCs w:val="22"/>
        </w:rPr>
        <w:t xml:space="preserve">emerges from real memorization</w:t>
      </w:r>
      <w:r>
        <w:rPr>
          <w:rFonts w:ascii="Times New Roman" w:cs="Times New Roman" w:eastAsia="Times New Roman" w:hAnsi="Times New Roman"/>
          <w:sz w:val="22"/>
          <w:szCs w:val="22"/>
        </w:rPr>
        <w:t xml:space="preserve">, across a capacity spectrum (logistic regression, MLP, random forest; 15 configurations × 6 seeds).</w:t>
      </w:r>
    </w:p>
    <w:p>
      <w:pPr>
        <w:spacing w:after="120" w:line="300"/>
        <w:jc w:val="both"/>
      </w:pPr>
      <w:r>
        <w:rPr>
          <w:rFonts w:ascii="Times New Roman" w:cs="Times New Roman" w:eastAsia="Times New Roman" w:hAnsi="Times New Roman"/>
          <w:sz w:val="22"/>
          <w:szCs w:val="22"/>
        </w:rPr>
        <w:t xml:space="preserve">Findings. (i) </w:t>
      </w:r>
      <w:r>
        <w:rPr>
          <w:rFonts w:ascii="Times New Roman" w:cs="Times New Roman" w:eastAsia="Times New Roman" w:hAnsi="Times New Roman"/>
          <w:b/>
          <w:bCs/>
          <w:sz w:val="22"/>
          <w:szCs w:val="22"/>
        </w:rPr>
        <w:t xml:space="preserve">The channel shape is right</w:t>
      </w:r>
      <w:r>
        <w:rPr>
          <w:rFonts w:ascii="Times New Roman" w:cs="Times New Roman" w:eastAsia="Times New Roman" w:hAnsi="Times New Roman"/>
          <w:sz w:val="22"/>
          <w:szCs w:val="22"/>
        </w:rPr>
        <w:t xml:space="preserve">: the 95th-percentile lift envelope tracks headroom with correlation +0.91 to +1.00 in 15/15 configurations. (ii) </w:t>
      </w:r>
      <w:r>
        <w:rPr>
          <w:rFonts w:ascii="Times New Roman" w:cs="Times New Roman" w:eastAsia="Times New Roman" w:hAnsi="Times New Roman"/>
          <w:b/>
          <w:bCs/>
          <w:sz w:val="22"/>
          <w:szCs w:val="22"/>
        </w:rPr>
        <w:t xml:space="preserve">Λ is capacity- and dose-stratified</w:t>
      </w:r>
      <w:r>
        <w:rPr>
          <w:rFonts w:ascii="Times New Roman" w:cs="Times New Roman" w:eastAsia="Times New Roman" w:hAnsi="Times New Roman"/>
          <w:sz w:val="22"/>
          <w:szCs w:val="22"/>
        </w:rPr>
        <w:t xml:space="preserve">: logistic regression Λ̂ ∈ [0.02, 0.23] monotone in dose; MLP ≈ 0.96; random forest = 1.00; the Λ = 1 extreme is real (an interpolating learner), matching the dose-response law at LLM scale [2601.04301]. (iii) </w:t>
      </w:r>
      <w:r>
        <w:rPr>
          <w:rFonts w:ascii="Times New Roman" w:cs="Times New Roman" w:eastAsia="Times New Roman" w:hAnsi="Times New Roman"/>
          <w:b/>
          <w:bCs/>
          <w:sz w:val="22"/>
          <w:szCs w:val="22"/>
        </w:rPr>
        <w:t xml:space="preserve">Monotonicity fails non-trivially</w:t>
      </w:r>
      <w:r>
        <w:rPr>
          <w:rFonts w:ascii="Times New Roman" w:cs="Times New Roman" w:eastAsia="Times New Roman" w:hAnsi="Times New Roman"/>
          <w:sz w:val="22"/>
          <w:szCs w:val="22"/>
        </w:rPr>
        <w:t xml:space="preserve">: up to 27% of leaked items score </w:t>
      </w:r>
      <w:r>
        <w:rPr>
          <w:rFonts w:ascii="Times New Roman" w:cs="Times New Roman" w:eastAsia="Times New Roman" w:hAnsi="Times New Roman"/>
          <w:i/>
          <w:iCs/>
          <w:sz w:val="22"/>
          <w:szCs w:val="22"/>
        </w:rPr>
        <w:t xml:space="preserve">lower</w:t>
      </w:r>
      <w:r>
        <w:rPr>
          <w:rFonts w:ascii="Times New Roman" w:cs="Times New Roman" w:eastAsia="Times New Roman" w:hAnsi="Times New Roman"/>
          <w:sz w:val="22"/>
          <w:szCs w:val="22"/>
        </w:rPr>
        <w:t xml:space="preserve"> in the contaminated twin; the two-sided channel U1 is necessary. (iv) </w:t>
      </w:r>
      <w:r>
        <w:rPr>
          <w:rFonts w:ascii="Times New Roman" w:cs="Times New Roman" w:eastAsia="Times New Roman" w:hAnsi="Times New Roman"/>
          <w:b/>
          <w:bCs/>
          <w:sz w:val="22"/>
          <w:szCs w:val="22"/>
        </w:rPr>
        <w:t xml:space="preserve">Spillover is real at small scale</w:t>
      </w:r>
      <w:r>
        <w:rPr>
          <w:rFonts w:ascii="Times New Roman" w:cs="Times New Roman" w:eastAsia="Times New Roman" w:hAnsi="Times New Roman"/>
          <w:sz w:val="22"/>
          <w:szCs w:val="22"/>
        </w:rPr>
        <w:t xml:space="preserve">: clean-item drift up to 0.20 (MLP) broke naive coverage (1/3); with the calibrated ε-widening, coverage is </w:t>
      </w:r>
      <w:r>
        <w:rPr>
          <w:rFonts w:ascii="Times New Roman" w:cs="Times New Roman" w:eastAsia="Times New Roman" w:hAnsi="Times New Roman"/>
          <w:b/>
          <w:bCs/>
          <w:sz w:val="22"/>
          <w:szCs w:val="22"/>
        </w:rPr>
        <w:t xml:space="preserve">3/3 in every previously failing configuration</w:t>
      </w:r>
      <w:r>
        <w:rPr>
          <w:rFonts w:ascii="Times New Roman" w:cs="Times New Roman" w:eastAsia="Times New Roman" w:hAnsi="Times New Roman"/>
          <w:sz w:val="22"/>
          <w:szCs w:val="22"/>
        </w:rPr>
        <w:t xml:space="preserve">. Injected-contamination coverage under known (Λ, π) is 1.000 across all regimes, degrading informatively (to 0.10–0.34) only when the analyst </w:t>
      </w:r>
      <w:r>
        <w:rPr>
          <w:rFonts w:ascii="Times New Roman" w:cs="Times New Roman" w:eastAsia="Times New Roman" w:hAnsi="Times New Roman"/>
          <w:i/>
          <w:iCs/>
          <w:sz w:val="22"/>
          <w:szCs w:val="22"/>
        </w:rPr>
        <w:t xml:space="preserve">underestimates</w:t>
      </w:r>
      <w:r>
        <w:rPr>
          <w:rFonts w:ascii="Times New Roman" w:cs="Times New Roman" w:eastAsia="Times New Roman" w:hAnsi="Times New Roman"/>
          <w:sz w:val="22"/>
          <w:szCs w:val="22"/>
        </w:rPr>
        <w:t xml:space="preserve"> contamination by half. A blind synthetic leaderboard audit flags exactly the secretly contaminated model's winning claim (Γ* = 0.173 vs ≥ 0.29 for clean claims).</w:t>
      </w:r>
    </w:p>
    <w:p>
      <w:pPr>
        <w:spacing w:after="120" w:line="300"/>
        <w:jc w:val="both"/>
      </w:pPr>
      <w:r>
        <w:rPr>
          <w:rFonts w:ascii="Times New Roman" w:cs="Times New Roman" w:eastAsia="Times New Roman" w:hAnsi="Times New Roman"/>
          <w:b/>
          <w:bCs/>
          <w:sz w:val="22"/>
          <w:szCs w:val="22"/>
        </w:rPr>
        <w:t xml:space="preserve">At LLM scale</w:t>
      </w:r>
      <w:r>
        <w:rPr>
          <w:rFonts w:ascii="Times New Roman" w:cs="Times New Roman" w:eastAsia="Times New Roman" w:hAnsi="Times New Roman"/>
          <w:sz w:val="22"/>
          <w:szCs w:val="22"/>
        </w:rPr>
        <w:t xml:space="preserve"> (same-family Qwen2.5-0.5B/1.5B pair, 905 MMLU items, fp32 LoRA injection, the complete 24-configuration grid over π ∈ {0.05…0.5} × dose ∈ {1, 4, 16}): the grid reveals a </w:t>
      </w:r>
      <w:r>
        <w:rPr>
          <w:rFonts w:ascii="Times New Roman" w:cs="Times New Roman" w:eastAsia="Times New Roman" w:hAnsi="Times New Roman"/>
          <w:b/>
          <w:bCs/>
          <w:sz w:val="22"/>
          <w:szCs w:val="22"/>
        </w:rPr>
        <w:t xml:space="preserve">dose law</w:t>
      </w:r>
      <w:r>
        <w:rPr>
          <w:rFonts w:ascii="Times New Roman" w:cs="Times New Roman" w:eastAsia="Times New Roman" w:hAnsi="Times New Roman"/>
          <w:sz w:val="22"/>
          <w:szCs w:val="22"/>
        </w:rPr>
        <w:t xml:space="preserve">. A single exposure to test items is </w:t>
      </w:r>
      <w:r>
        <w:rPr>
          <w:rFonts w:ascii="Times New Roman" w:cs="Times New Roman" w:eastAsia="Times New Roman" w:hAnsi="Times New Roman"/>
          <w:i/>
          <w:iCs/>
          <w:sz w:val="22"/>
          <w:szCs w:val="22"/>
        </w:rPr>
        <w:t xml:space="preserve">net-harmful</w:t>
      </w:r>
      <w:r>
        <w:rPr>
          <w:rFonts w:ascii="Times New Roman" w:cs="Times New Roman" w:eastAsia="Times New Roman" w:hAnsi="Times New Roman"/>
          <w:sz w:val="22"/>
          <w:szCs w:val="22"/>
        </w:rPr>
        <w:t xml:space="preserve">: mean lift is negative in 7 of 8 dose-1 configurations (down to −2.9 pt) with individual-item violation rates of 31–56%, while dose 16 is complete memorization (Λ̂ = 1.000 in all eight configurations, with lifts up to +56 pt). The two-sided channel is therefore the </w:t>
      </w:r>
      <w:r>
        <w:rPr>
          <w:rFonts w:ascii="Times New Roman" w:cs="Times New Roman" w:eastAsia="Times New Roman" w:hAnsi="Times New Roman"/>
          <w:i/>
          <w:iCs/>
          <w:sz w:val="22"/>
          <w:szCs w:val="22"/>
        </w:rPr>
        <w:t xml:space="preserve">dominant</w:t>
      </w:r>
      <w:r>
        <w:rPr>
          <w:rFonts w:ascii="Times New Roman" w:cs="Times New Roman" w:eastAsia="Times New Roman" w:hAnsi="Times New Roman"/>
          <w:sz w:val="22"/>
          <w:szCs w:val="22"/>
        </w:rPr>
        <w:t xml:space="preserve"> behavior of light contamination, not a correction term. The capacity comparison vindicates the headroom parametrization itself: raw lift anti-orders with capacity (the 0.5B model gains more points, purely from headroom), while Λ restores the correct ordering: raw clean/dirty gaps mislead across models. Spillover grows with dose (0.04 → 0.30, always positive: format familiarity), and all three (of 24) cross-config consistency failures occur exactly where λ̂ was pooled across doses, direct evidence for the dose-stratified calibration the pre-registration mandates.</w:t>
      </w:r>
    </w:p>
    <w:p>
      <w:pPr>
        <w:spacing w:after="120" w:line="300"/>
        <w:jc w:val="both"/>
      </w:pPr>
      <w:r>
        <w:rPr>
          <w:rFonts w:ascii="Times New Roman" w:cs="Times New Roman" w:eastAsia="Times New Roman" w:hAnsi="Times New Roman"/>
          <w:b/>
          <w:bCs/>
          <w:sz w:val="22"/>
          <w:szCs w:val="22"/>
        </w:rPr>
        <w:t xml:space="preserve">Corpus dilution (Fig. 2 / f19).</w:t>
      </w:r>
      <w:r>
        <w:rPr>
          <w:rFonts w:ascii="Times New Roman" w:cs="Times New Roman" w:eastAsia="Times New Roman" w:hAnsi="Times New Roman"/>
          <w:sz w:val="22"/>
          <w:szCs w:val="22"/>
        </w:rPr>
        <w:t xml:space="preserve"> The grid measures Λ under concentrated exposure (every training token is a leaked item), which is a ceiling, not the pretraining regime. The corpus-mix experiment holds the model, π, and per-item exposure count fixed and interleaves each leaked chunk with mix ∈ {0, 4, 20} neutral wikitext chunks, so total training grows with mix while leaked exposures do not, which is the direction in which real pretraining differs from our grid. Dilution turns out not to be one thing. At </w:t>
      </w:r>
      <w:r>
        <w:rPr>
          <w:rFonts w:ascii="Times New Roman" w:cs="Times New Roman" w:eastAsia="Times New Roman" w:hAnsi="Times New Roman"/>
          <w:b/>
          <w:bCs/>
          <w:sz w:val="22"/>
          <w:szCs w:val="22"/>
        </w:rPr>
        <w:t xml:space="preserve">dose 1</w:t>
      </w:r>
      <w:r>
        <w:rPr>
          <w:rFonts w:ascii="Times New Roman" w:cs="Times New Roman" w:eastAsia="Times New Roman" w:hAnsi="Times New Roman"/>
          <w:sz w:val="22"/>
          <w:szCs w:val="22"/>
        </w:rPr>
        <w:t xml:space="preserve"> (a single exposure per item, the scraped-pretraining scenario), Λ̂_q95 falls from 0.58 through 0.38 to 0.35, from above the calibrated field range [0.10, 0.45] to </w:t>
      </w:r>
      <w:r>
        <w:rPr>
          <w:rFonts w:ascii="Times New Roman" w:cs="Times New Roman" w:eastAsia="Times New Roman" w:hAnsi="Times New Roman"/>
          <w:i/>
          <w:iCs/>
          <w:sz w:val="22"/>
          <w:szCs w:val="22"/>
        </w:rPr>
        <w:t xml:space="preserve">inside</w:t>
      </w:r>
      <w:r>
        <w:rPr>
          <w:rFonts w:ascii="Times New Roman" w:cs="Times New Roman" w:eastAsia="Times New Roman" w:hAnsi="Times New Roman"/>
          <w:sz w:val="22"/>
          <w:szCs w:val="22"/>
        </w:rPr>
        <w:t xml:space="preserve"> it. The literature-derived range of §8, until now an external prior, is here reproduced by direct interpolation: single-shot contamination embedded in a corpus lands at field strength. At </w:t>
      </w:r>
      <w:r>
        <w:rPr>
          <w:rFonts w:ascii="Times New Roman" w:cs="Times New Roman" w:eastAsia="Times New Roman" w:hAnsi="Times New Roman"/>
          <w:b/>
          <w:bCs/>
          <w:sz w:val="22"/>
          <w:szCs w:val="22"/>
        </w:rPr>
        <w:t xml:space="preserve">dose 4</w:t>
      </w:r>
      <w:r>
        <w:rPr>
          <w:rFonts w:ascii="Times New Roman" w:cs="Times New Roman" w:eastAsia="Times New Roman" w:hAnsi="Times New Roman"/>
          <w:sz w:val="22"/>
          <w:szCs w:val="22"/>
        </w:rPr>
        <w:t xml:space="preserve">, dilution runs the other way: Λ̂_q95 climbs from 0.73 to 0.98, lift triples, and violations collapse from 0.18 to 0.03. Interleaving neutral text between repeated exposures is spaced rather than massed practice, and it </w:t>
      </w:r>
      <w:r>
        <w:rPr>
          <w:rFonts w:ascii="Times New Roman" w:cs="Times New Roman" w:eastAsia="Times New Roman" w:hAnsi="Times New Roman"/>
          <w:i/>
          <w:iCs/>
          <w:sz w:val="22"/>
          <w:szCs w:val="22"/>
        </w:rPr>
        <w:t xml:space="preserve">consolidates</w:t>
      </w:r>
      <w:r>
        <w:rPr>
          <w:rFonts w:ascii="Times New Roman" w:cs="Times New Roman" w:eastAsia="Times New Roman" w:hAnsi="Times New Roman"/>
          <w:sz w:val="22"/>
          <w:szCs w:val="22"/>
        </w:rPr>
        <w:t xml:space="preserve"> memorization. Deliberate or repeated contamination (a benchmark recurring in a fine-tuning mix) saturates toward Λ = 1 no matter how diluted the corpus. A replication over three seeds and a second model sharpens what is stable and what is not. The consolidation endpoint replicates almost exactly: Λ̂_q95 at dose 4, mix 20 is 0.976, 0.988, 0.982 across seeds (range 0.012), and the dose-4 upward trend is monotone in every seed. The dose-1 </w:t>
      </w:r>
      <w:r>
        <w:rPr>
          <w:rFonts w:ascii="Times New Roman" w:cs="Times New Roman" w:eastAsia="Times New Roman" w:hAnsi="Times New Roman"/>
          <w:i/>
          <w:iCs/>
          <w:sz w:val="22"/>
          <w:szCs w:val="22"/>
        </w:rPr>
        <w:t xml:space="preserve">diluted endpoint</w:t>
      </w:r>
      <w:r>
        <w:rPr>
          <w:rFonts w:ascii="Times New Roman" w:cs="Times New Roman" w:eastAsia="Times New Roman" w:hAnsi="Times New Roman"/>
          <w:sz w:val="22"/>
          <w:szCs w:val="22"/>
        </w:rPr>
        <w:t xml:space="preserve"> also replicates inside the field range (0.286–0.346 across seeds). The dose-1 </w:t>
      </w:r>
      <w:r>
        <w:rPr>
          <w:rFonts w:ascii="Times New Roman" w:cs="Times New Roman" w:eastAsia="Times New Roman" w:hAnsi="Times New Roman"/>
          <w:i/>
          <w:iCs/>
          <w:sz w:val="22"/>
          <w:szCs w:val="22"/>
        </w:rPr>
        <w:t xml:space="preserve">concentrated starting point</w:t>
      </w:r>
      <w:r>
        <w:rPr>
          <w:rFonts w:ascii="Times New Roman" w:cs="Times New Roman" w:eastAsia="Times New Roman" w:hAnsi="Times New Roman"/>
          <w:sz w:val="22"/>
          <w:szCs w:val="22"/>
        </w:rPr>
        <w:t xml:space="preserve">, by contrast, is seed-noisy (0.27–0.58): a single light exposure produces an unstable memorization level, so we claim the diluted endpoint and the consolidation law as replicated findings and treat the concentrated dose-1 level as noisy. The 0.5B model shows the same structure at lower levels (dose-1 lift ≈ 0, dose-4 consolidation 0.68 → 0.76), consistent with the capacity law. The practical consequences: the field range is </w:t>
      </w:r>
      <w:r>
        <w:rPr>
          <w:rFonts w:ascii="Times New Roman" w:cs="Times New Roman" w:eastAsia="Times New Roman" w:hAnsi="Times New Roman"/>
          <w:i/>
          <w:iCs/>
          <w:sz w:val="22"/>
          <w:szCs w:val="22"/>
        </w:rPr>
        <w:t xml:space="preserve">validated</w:t>
      </w:r>
      <w:r>
        <w:rPr>
          <w:rFonts w:ascii="Times New Roman" w:cs="Times New Roman" w:eastAsia="Times New Roman" w:hAnsi="Times New Roman"/>
          <w:sz w:val="22"/>
          <w:szCs w:val="22"/>
        </w:rPr>
        <w:t xml:space="preserve"> for accidental scrape-style contamination, and the concentrated "measured-ceiling" policy of §8 is </w:t>
      </w:r>
      <w:r>
        <w:rPr>
          <w:rFonts w:ascii="Times New Roman" w:cs="Times New Roman" w:eastAsia="Times New Roman" w:hAnsi="Times New Roman"/>
          <w:i/>
          <w:iCs/>
          <w:sz w:val="22"/>
          <w:szCs w:val="22"/>
        </w:rPr>
        <w:t xml:space="preserve">necessary</w:t>
      </w:r>
      <w:r>
        <w:rPr>
          <w:rFonts w:ascii="Times New Roman" w:cs="Times New Roman" w:eastAsia="Times New Roman" w:hAnsi="Times New Roman"/>
          <w:sz w:val="22"/>
          <w:szCs w:val="22"/>
        </w:rPr>
        <w:t xml:space="preserve">: repeated-exposure contamination exceeds even the concentrated ceiling, so no single Λ constant can cover both regimes. Calibration must be dose-stratified, exactly as the pre-registration required.</w:t>
      </w:r>
    </w:p>
    <w:p>
      <w:pPr>
        <w:spacing w:after="60" w:before="160"/>
        <w:jc w:val="center"/>
      </w:pPr>
      <w:r>
        <w:drawing>
          <wp:inline distT="0" distB="0" distL="0" distR="0">
            <wp:extent cx="5715000" cy="3305175"/>
            <wp:effectExtent t="0" r="0" b="0" l="0"/>
            <wp:docPr id="1" name="f19_corpusmix.png" descr="Figure 2: Corpus dilution is not one thing. Interleaving each leaked chunk with mix ∈ {0, 4, 20} neutral wikitext chunks holds per-item exposures fixed while total training grows. A single exposure (dose 1) decays into the calibrated field range [0.10, 0.45]; repeated exposures (dose 4) consolidate toward complete memorization (Λ̂ = 0.98). Session-reproduction noise on Λ̂ is ≤ 0.039." title="Figure 2: Corpus dilution is not one thing. Interleaving e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305175"/>
                    </a:xfrm>
                    <a:prstGeom prst="rect">
                      <a:avLst/>
                    </a:prstGeom>
                  </pic:spPr>
                </pic:pic>
              </a:graphicData>
            </a:graphic>
          </wp:inline>
        </w:drawing>
      </w:r>
    </w:p>
    <w:p>
      <w:pPr>
        <w:spacing w:after="240"/>
        <w:jc w:val="both"/>
      </w:pPr>
      <w:r>
        <w:rPr>
          <w:rFonts w:ascii="Times New Roman" w:cs="Times New Roman" w:eastAsia="Times New Roman" w:hAnsi="Times New Roman"/>
          <w:sz w:val="19"/>
          <w:szCs w:val="19"/>
        </w:rPr>
        <w:t xml:space="preserve">Figure 2: Corpus dilution is not one thing. Interleaving each leaked chunk with mix ∈ {0, 4, 20} neutral wikitext chunks holds per-item exposures fixed while total training grows. A single exposure (dose 1) decays into the calibrated field range [0.10, 0.45]; repeated exposures (dose 4) consolidate toward complete memorization (Λ̂ = 0.98). Session-reproduction noise on Λ̂ is ≤ 0.039.</w:t>
      </w:r>
    </w:p>
    <w:p>
      <w:pPr>
        <w:pStyle w:val="Heading1"/>
      </w:pPr>
      <w:r>
        <w:rPr>
          <w:rFonts w:ascii="Times New Roman" w:cs="Times New Roman" w:eastAsia="Times New Roman" w:hAnsi="Times New Roman"/>
          <w:sz w:val="22"/>
          <w:szCs w:val="22"/>
        </w:rPr>
        <w:t xml:space="preserve">8. Calibrating Λ from the literature</w:t>
      </w:r>
    </w:p>
    <w:p>
      <w:pPr>
        <w:spacing w:after="120" w:line="300"/>
        <w:jc w:val="both"/>
      </w:pPr>
      <w:r>
        <w:rPr>
          <w:rFonts w:ascii="Times New Roman" w:cs="Times New Roman" w:eastAsia="Times New Roman" w:hAnsi="Times New Roman"/>
          <w:sz w:val="22"/>
          <w:szCs w:val="22"/>
        </w:rPr>
        <w:t xml:space="preserve">Published clean/dirty comparisons convert directly to Λ = lift/headroom: LLaMA-70B HellaSwag 15.3pt gap on 36.5pt headroom → Λ ≈ 0.42; GPT-3 SQuAD ≈ 0.40; Llama-3 flagged-subset estimates ≈ 0.40–0.47 (upper bounds by design); GSM8K clean-mirror ≈ 0.21; C-Eval ≈ 0.31; MMLU ≈ 0.02. The pattern is strongly task-heterogeneous, with a meta-analytic central range </w:t>
      </w:r>
      <w:r>
        <w:rPr>
          <w:rFonts w:ascii="Times New Roman" w:cs="Times New Roman" w:eastAsia="Times New Roman" w:hAnsi="Times New Roman"/>
          <w:b/>
          <w:bCs/>
          <w:sz w:val="22"/>
          <w:szCs w:val="22"/>
        </w:rPr>
        <w:t xml:space="preserve">[0.1, 0.45]</w:t>
      </w:r>
      <w:r>
        <w:rPr>
          <w:rFonts w:ascii="Times New Roman" w:cs="Times New Roman" w:eastAsia="Times New Roman" w:hAnsi="Times New Roman"/>
          <w:sz w:val="22"/>
          <w:szCs w:val="22"/>
        </w:rPr>
        <w:t xml:space="preserve"> (eighteen sourced rows in </w:t>
      </w:r>
      <w:r>
        <w:rPr>
          <w:rFonts w:ascii="Consolas" w:cs="Consolas" w:eastAsia="Consolas" w:hAnsi="Consolas"/>
          <w:sz w:val="20"/>
          <w:szCs w:val="20"/>
        </w:rPr>
        <w:t xml:space="preserve">results/lambda_priors.csv</w:t>
      </w:r>
      <w:r>
        <w:rPr>
          <w:rFonts w:ascii="Times New Roman" w:cs="Times New Roman" w:eastAsia="Times New Roman" w:hAnsi="Times New Roman"/>
          <w:sz w:val="22"/>
          <w:szCs w:val="22"/>
        </w:rPr>
        <w:t xml:space="preserve">, of which eight are quality-eligible for the pooled median under the pre-registered policy of §9.1; </w:t>
      </w:r>
      <w:r>
        <w:rPr>
          <w:rFonts w:ascii="Consolas" w:cs="Consolas" w:eastAsia="Consolas" w:hAnsi="Consolas"/>
          <w:sz w:val="20"/>
          <w:szCs w:val="20"/>
        </w:rPr>
        <w:t xml:space="preserve">measured</w:t>
      </w:r>
      <w:r>
        <w:rPr>
          <w:rFonts w:ascii="Times New Roman" w:cs="Times New Roman" w:eastAsia="Times New Roman" w:hAnsi="Times New Roman"/>
          <w:sz w:val="22"/>
          <w:szCs w:val="22"/>
        </w:rPr>
        <w:t xml:space="preserve"> rows enter only as upper-bound anchors). Λ is model-stratified per the dose-response law; ConStat effect estimates and our own CONTAM-CTRL measurements enter the same table. The confirmatory audit interprets every Γ* against this pre-frozen range (PREREGISTRATION.md).</w:t>
      </w:r>
    </w:p>
    <w:p>
      <w:pPr>
        <w:pStyle w:val="Heading1"/>
      </w:pPr>
      <w:r>
        <w:rPr>
          <w:rFonts w:ascii="Times New Roman" w:cs="Times New Roman" w:eastAsia="Times New Roman" w:hAnsi="Times New Roman"/>
          <w:sz w:val="22"/>
          <w:szCs w:val="22"/>
        </w:rPr>
        <w:t xml:space="preserve">9. Case studies on real benchmarks (exploratory)</w:t>
      </w:r>
    </w:p>
    <w:p>
      <w:pPr>
        <w:spacing w:after="120" w:line="300"/>
        <w:jc w:val="both"/>
      </w:pPr>
      <w:r>
        <w:rPr>
          <w:rFonts w:ascii="Times New Roman" w:cs="Times New Roman" w:eastAsia="Times New Roman" w:hAnsi="Times New Roman"/>
          <w:b/>
          <w:bCs/>
          <w:sz w:val="22"/>
          <w:szCs w:val="22"/>
        </w:rPr>
        <w:t xml:space="preserve">TSFM transfer atlas</w:t>
      </w:r>
      <w:r>
        <w:rPr>
          <w:rFonts w:ascii="Times New Roman" w:cs="Times New Roman" w:eastAsia="Times New Roman" w:hAnsi="Times New Roman"/>
          <w:sz w:val="22"/>
          <w:szCs w:val="22"/>
        </w:rPr>
        <w:t xml:space="preserve"> (6 frozen models × 17 datasets, continuous MASE-skill, sharp regime, provenance strata from the corpus's own contamination-prior annotations): </w:t>
      </w:r>
      <w:r>
        <w:rPr>
          <w:rFonts w:ascii="Times New Roman" w:cs="Times New Roman" w:eastAsia="Times New Roman" w:hAnsi="Times New Roman"/>
          <w:b/>
          <w:bCs/>
          <w:sz w:val="22"/>
          <w:szCs w:val="22"/>
        </w:rPr>
        <w:t xml:space="preserve">every adjacent ranking claim is fragile</w:t>
      </w:r>
      <w:r>
        <w:rPr>
          <w:rFonts w:ascii="Times New Roman" w:cs="Times New Roman" w:eastAsia="Times New Roman" w:hAnsi="Times New Roman"/>
          <w:sz w:val="22"/>
          <w:szCs w:val="22"/>
        </w:rPr>
        <w:t xml:space="preserve"> (Γ* ≤ 0.114 at π = 0.1, at or below the calibrated range), and stratification cannot rescue margins of ≤ 1.3 skill points because 14/17 datasets carry a high contamination prior.</w:t>
      </w:r>
    </w:p>
    <w:p>
      <w:pPr>
        <w:spacing w:after="120" w:line="300"/>
        <w:jc w:val="both"/>
      </w:pPr>
      <w:r>
        <w:rPr>
          <w:rFonts w:ascii="Times New Roman" w:cs="Times New Roman" w:eastAsia="Times New Roman" w:hAnsi="Times New Roman"/>
          <w:b/>
          <w:bCs/>
          <w:sz w:val="22"/>
          <w:szCs w:val="22"/>
        </w:rPr>
        <w:t xml:space="preserve">Open LLM Leaderboard, ARC-Challenge</w:t>
      </w:r>
      <w:r>
        <w:rPr>
          <w:rFonts w:ascii="Times New Roman" w:cs="Times New Roman" w:eastAsia="Times New Roman" w:hAnsi="Times New Roman"/>
          <w:sz w:val="22"/>
          <w:szCs w:val="22"/>
        </w:rPr>
        <w:t xml:space="preserve"> (1,170 paired items × 4 models, single-draw binary → auto simple regime, n_boot = 500): Llama-3-8B ≻ Mistral-7B (margin 0.26pt) has Γ* = 0.026: a whisker of contamination flips it; Mistral-7B ≻ Llama-2-13B (1.9pt) has Γ* = 0.188, inside the calibrated range; </w:t>
      </w:r>
      <w:r>
        <w:rPr>
          <w:rFonts w:ascii="Times New Roman" w:cs="Times New Roman" w:eastAsia="Times New Roman" w:hAnsi="Times New Roman"/>
          <w:b/>
          <w:bCs/>
          <w:sz w:val="22"/>
          <w:szCs w:val="22"/>
        </w:rPr>
        <w:t xml:space="preserve">Llama-2-13B ≻ Llama-2-7B (5.0pt) has Γ* = 0.504, above the entire calibrated range, and is FDR-certified robust (p = 0.006)</w:t>
      </w:r>
      <w:r>
        <w:rPr>
          <w:rFonts w:ascii="Times New Roman" w:cs="Times New Roman" w:eastAsia="Times New Roman" w:hAnsi="Times New Roman"/>
          <w:sz w:val="22"/>
          <w:szCs w:val="22"/>
        </w:rPr>
        <w:t xml:space="preserve">, precisely the claim that independent scaling evidence says should survive. The instrument separates the claim population exactly as designed.</w:t>
      </w:r>
    </w:p>
    <w:p>
      <w:pPr>
        <w:pStyle w:val="Heading2"/>
      </w:pPr>
      <w:r>
        <w:rPr>
          <w:rFonts w:ascii="Times New Roman" w:cs="Times New Roman" w:eastAsia="Times New Roman" w:hAnsi="Times New Roman"/>
          <w:sz w:val="22"/>
          <w:szCs w:val="22"/>
        </w:rPr>
        <w:t xml:space="preserve">9.1 The pre-registered confirmatory audit</w:t>
      </w:r>
    </w:p>
    <w:p>
      <w:pPr>
        <w:spacing w:after="120" w:line="300"/>
        <w:jc w:val="both"/>
      </w:pPr>
      <w:r>
        <w:rPr>
          <w:rFonts w:ascii="Times New Roman" w:cs="Times New Roman" w:eastAsia="Times New Roman" w:hAnsi="Times New Roman"/>
          <w:sz w:val="22"/>
          <w:szCs w:val="22"/>
        </w:rPr>
        <w:t xml:space="preserve">Protocol frozen (PREREGISTRATION.md v1.0, 19 July 2026, git tag </w:t>
      </w:r>
      <w:r>
        <w:rPr>
          <w:rFonts w:ascii="Consolas" w:cs="Consolas" w:eastAsia="Consolas" w:hAnsi="Consolas"/>
          <w:sz w:val="20"/>
          <w:szCs w:val="20"/>
        </w:rPr>
        <w:t xml:space="preserve">prereg-freeze-v1.0</w:t>
      </w:r>
      <w:r>
        <w:rPr>
          <w:rFonts w:ascii="Times New Roman" w:cs="Times New Roman" w:eastAsia="Times New Roman" w:hAnsi="Times New Roman"/>
          <w:sz w:val="22"/>
          <w:szCs w:val="22"/>
        </w:rPr>
        <w:t xml:space="preserve">) before any confirmatory Γ* was computed: 16 fixed candidate models × 5 Open LLM Leaderboard v1-archive tasks, adjacent-pair claims, primary rule Γ*(π = 0.1) &lt; Λ_ref (pooled 0.355; HellaSwag stratum 0.42), BH-FDR primary with BY sensitivity, ρ ∈ {0, 0.2}. Protocol notes, all logged mechanically at run time: TruthfulQA was dropped entirely (the archive stores mc1/mc2, not the frozen acc/acc_norm specification); falcon-7b was dropped on ARC (its snapshot's item template shares no items with the 15-model modal universe) and GPT-J on Winogrande (malformed score column).</w:t>
      </w:r>
    </w:p>
    <w:p>
      <w:pPr>
        <w:spacing w:after="120" w:line="300"/>
        <w:jc w:val="both"/>
      </w:pPr>
      <w:r>
        <w:rPr>
          <w:rFonts w:ascii="Times New Roman" w:cs="Times New Roman" w:eastAsia="Times New Roman" w:hAnsi="Times New Roman"/>
          <w:b/>
          <w:bCs/>
          <w:sz w:val="22"/>
          <w:szCs w:val="22"/>
        </w:rPr>
        <w:t xml:space="preserve">Result (Fig. 3 / f17): 49 of 58 claims (84.5%) are not contamination-robust</w:t>
      </w:r>
      <w:r>
        <w:rPr>
          <w:rFonts w:ascii="Times New Roman" w:cs="Times New Roman" w:eastAsia="Times New Roman" w:hAnsi="Times New Roman"/>
          <w:sz w:val="22"/>
          <w:szCs w:val="22"/>
        </w:rPr>
        <w:t xml:space="preserve"> (exact two-sided 95% CI [72.6%, 92.7%]; one-sided p = 2.7×10⁻²¹ against the pre-registered H4 threshold of 25%; excluding pilot-overlap pairs: 47/56 = 83.9%, CI [71.7%, 92.4%]). The ρ = 0.2 sensitivity leaves the count unchanged. Per task, the median Γ*(0.1) is 0.084–0.120 on HellaSwag, Winogrande, and ARC (the typical adjacent claim tolerates less than one-third of the calibrated contamination strength), and 0.212 on GSM8K, whose margins are larger. Only </w:t>
      </w:r>
      <w:r>
        <w:rPr>
          <w:rFonts w:ascii="Times New Roman" w:cs="Times New Roman" w:eastAsia="Times New Roman" w:hAnsi="Times New Roman"/>
          <w:b/>
          <w:bCs/>
          <w:sz w:val="22"/>
          <w:szCs w:val="22"/>
        </w:rPr>
        <w:t xml:space="preserve">8 claims earn BH-FDR robustness certificates (6 under BY)</w:t>
      </w:r>
      <w:r>
        <w:rPr>
          <w:rFonts w:ascii="Times New Roman" w:cs="Times New Roman" w:eastAsia="Times New Roman" w:hAnsi="Times New Roman"/>
          <w:sz w:val="22"/>
          <w:szCs w:val="22"/>
        </w:rPr>
        <w:t xml:space="preserve">, and every certified claim has a margin above 5 points: cross-generation capability gaps (e.g. Llama-3-70B ≻ Qwen1.5-14B on GSM8K) and "everything beats GPT-J." The leaderboard's </w:t>
      </w:r>
      <w:r>
        <w:rPr>
          <w:rFonts w:ascii="Times New Roman" w:cs="Times New Roman" w:eastAsia="Times New Roman" w:hAnsi="Times New Roman"/>
          <w:i/>
          <w:iCs/>
          <w:sz w:val="22"/>
          <w:szCs w:val="22"/>
        </w:rPr>
        <w:t xml:space="preserve">ordering of eras</w:t>
      </w:r>
      <w:r>
        <w:rPr>
          <w:rFonts w:ascii="Times New Roman" w:cs="Times New Roman" w:eastAsia="Times New Roman" w:hAnsi="Times New Roman"/>
          <w:sz w:val="22"/>
          <w:szCs w:val="22"/>
        </w:rPr>
        <w:t xml:space="preserve"> is contamination-robust; its </w:t>
      </w:r>
      <w:r>
        <w:rPr>
          <w:rFonts w:ascii="Times New Roman" w:cs="Times New Roman" w:eastAsia="Times New Roman" w:hAnsi="Times New Roman"/>
          <w:i/>
          <w:iCs/>
          <w:sz w:val="22"/>
          <w:szCs w:val="22"/>
        </w:rPr>
        <w:t xml:space="preserve">ordering of neighbors</w:t>
      </w:r>
      <w:r>
        <w:rPr>
          <w:rFonts w:ascii="Times New Roman" w:cs="Times New Roman" w:eastAsia="Times New Roman" w:hAnsi="Times New Roman"/>
          <w:sz w:val="22"/>
          <w:szCs w:val="22"/>
        </w:rPr>
        <w:t xml:space="preserve"> is not.</w:t>
      </w:r>
    </w:p>
    <w:p>
      <w:pPr>
        <w:spacing w:after="60" w:before="160"/>
        <w:jc w:val="center"/>
      </w:pPr>
      <w:r>
        <w:drawing>
          <wp:inline distT="0" distB="0" distL="0" distR="0">
            <wp:extent cx="5715000" cy="3028950"/>
            <wp:effectExtent t="0" r="0" b="0" l="0"/>
            <wp:docPr id="1" name="f17_confirmatory.png" descr="Figure 3: The pre-registered confirmatory audit. Each point is one adjacent leaderboard claim's Γ* at π = 0.1; gold bars mark the frozen stratum Λ_ref (0.42 HellaSwag, 0.355 elsewhere). Vermillion claims fall below the calibrated contamination strength (49/58 = 84.5%); blue claims survive." title="Figure 3: The pre-registered confirmatory audit. Each poin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028950"/>
                    </a:xfrm>
                    <a:prstGeom prst="rect">
                      <a:avLst/>
                    </a:prstGeom>
                  </pic:spPr>
                </pic:pic>
              </a:graphicData>
            </a:graphic>
          </wp:inline>
        </w:drawing>
      </w:r>
    </w:p>
    <w:p>
      <w:pPr>
        <w:spacing w:after="240"/>
        <w:jc w:val="both"/>
      </w:pPr>
      <w:r>
        <w:rPr>
          <w:rFonts w:ascii="Times New Roman" w:cs="Times New Roman" w:eastAsia="Times New Roman" w:hAnsi="Times New Roman"/>
          <w:sz w:val="19"/>
          <w:szCs w:val="19"/>
        </w:rPr>
        <w:t xml:space="preserve">Figure 3: The pre-registered confirmatory audit. Each point is one adjacent leaderboard claim's Γ* at π = 0.1; gold bars mark the frozen stratum Λ_ref (0.42 HellaSwag, 0.355 elsewhere). Vermillion claims fall below the calibrated contamination strength (49/58 = 84.5%); blue claims survive.</w:t>
      </w:r>
    </w:p>
    <w:p>
      <w:pPr>
        <w:spacing w:after="120" w:line="300"/>
        <w:jc w:val="both"/>
      </w:pPr>
      <w:r>
        <w:rPr>
          <w:rFonts w:ascii="Times New Roman" w:cs="Times New Roman" w:eastAsia="Times New Roman" w:hAnsi="Times New Roman"/>
          <w:sz w:val="22"/>
          <w:szCs w:val="22"/>
        </w:rPr>
        <w:t xml:space="preserve">The exact test treats claims as independent, and adjacent claims are not: consecutive pairs share a model, and the same sixteen models recur across tasks. Three checks show the conclusion does not lean on that assumption. Splitting each task's chain into alternating halves, which share no model within a task, gives 83.3% and 85.7% non-robust (each p ≈ 3×10⁻¹¹). Every task rejects H4 on its own, the weakest being GSM8K at p = 0.017. And at the observed rate the exact test rejects for any effective sample size of three or more claims, so dependence would have to erase essentially all of the information in the corpus to change the answer.</w:t>
      </w:r>
    </w:p>
    <w:p>
      <w:pPr>
        <w:spacing w:after="120" w:line="300"/>
        <w:jc w:val="both"/>
      </w:pPr>
      <w:r>
        <w:rPr>
          <w:rFonts w:ascii="Times New Roman" w:cs="Times New Roman" w:eastAsia="Times New Roman" w:hAnsi="Times New Roman"/>
          <w:sz w:val="22"/>
          <w:szCs w:val="22"/>
        </w:rPr>
        <w:t xml:space="preserve">The protocol was pre-registered on the Open Science Framework (</w:t>
      </w:r>
      <w:hyperlink w:history="1" r:id="rIdooykm08hrozigqr1guxes">
        <w:r>
          <w:rPr>
            <w:rFonts w:ascii="Times New Roman" w:cs="Times New Roman" w:eastAsia="Times New Roman" w:hAnsi="Times New Roman"/>
            <w:color w:val="0563C1"/>
            <w:sz w:val="22"/>
            <w:szCs w:val="22"/>
            <w:u w:val="single"/>
          </w:rPr>
          <w:t xml:space="preserve">https://osf.io/2436z</w:t>
        </w:r>
      </w:hyperlink>
      <w:r>
        <w:rPr>
          <w:rFonts w:ascii="Times New Roman" w:cs="Times New Roman" w:eastAsia="Times New Roman" w:hAnsi="Times New Roman"/>
          <w:sz w:val="22"/>
          <w:szCs w:val="22"/>
        </w:rPr>
        <w:t xml:space="preserve">, DOI </w:t>
      </w:r>
      <w:r>
        <w:rPr>
          <w:rFonts w:ascii="Consolas" w:cs="Consolas" w:eastAsia="Consolas" w:hAnsi="Consolas"/>
          <w:sz w:val="20"/>
          <w:szCs w:val="20"/>
        </w:rPr>
        <w:t xml:space="preserve">10.17605/OSF.IO/2436Z</w:t>
      </w:r>
      <w:r>
        <w:rPr>
          <w:rFonts w:ascii="Times New Roman" w:cs="Times New Roman" w:eastAsia="Times New Roman" w:hAnsi="Times New Roman"/>
          <w:sz w:val="22"/>
          <w:szCs w:val="22"/>
        </w:rPr>
        <w:t xml:space="preserve">, registered 20 July 2026, public and un-embargoed) before any confirmatory number was publicised. The registration carries the protocol verbatim, the frozen Λ calibration table (</w:t>
      </w:r>
      <w:r>
        <w:rPr>
          <w:rFonts w:ascii="Consolas" w:cs="Consolas" w:eastAsia="Consolas" w:hAnsi="Consolas"/>
          <w:sz w:val="20"/>
          <w:szCs w:val="20"/>
        </w:rPr>
        <w:t xml:space="preserve">lambda_priors.csv</w:t>
      </w:r>
      <w:r>
        <w:rPr>
          <w:rFonts w:ascii="Times New Roman" w:cs="Times New Roman" w:eastAsia="Times New Roman" w:hAnsi="Times New Roman"/>
          <w:sz w:val="22"/>
          <w:szCs w:val="22"/>
        </w:rPr>
        <w:t xml:space="preserve">, git blob </w:t>
      </w:r>
      <w:r>
        <w:rPr>
          <w:rFonts w:ascii="Consolas" w:cs="Consolas" w:eastAsia="Consolas" w:hAnsi="Consolas"/>
          <w:sz w:val="20"/>
          <w:szCs w:val="20"/>
        </w:rPr>
        <w:t xml:space="preserve">590d295…</w:t>
      </w:r>
      <w:r>
        <w:rPr>
          <w:rFonts w:ascii="Times New Roman" w:cs="Times New Roman" w:eastAsia="Times New Roman" w:hAnsi="Times New Roman"/>
          <w:sz w:val="22"/>
          <w:szCs w:val="22"/>
        </w:rPr>
        <w:t xml:space="preserve">), and a chain-of-custody addendum recording exactly which files were frozen at tag </w:t>
      </w:r>
      <w:r>
        <w:rPr>
          <w:rFonts w:ascii="Consolas" w:cs="Consolas" w:eastAsia="Consolas" w:hAnsi="Consolas"/>
          <w:sz w:val="20"/>
          <w:szCs w:val="20"/>
        </w:rPr>
        <w:t xml:space="preserve">prereg-freeze-v1.0</w:t>
      </w:r>
      <w:r>
        <w:rPr>
          <w:rFonts w:ascii="Times New Roman" w:cs="Times New Roman" w:eastAsia="Times New Roman" w:hAnsi="Times New Roman"/>
          <w:sz w:val="22"/>
          <w:szCs w:val="22"/>
        </w:rPr>
        <w:t xml:space="preserve"> (commit </w:t>
      </w:r>
      <w:r>
        <w:rPr>
          <w:rFonts w:ascii="Consolas" w:cs="Consolas" w:eastAsia="Consolas" w:hAnsi="Consolas"/>
          <w:sz w:val="20"/>
          <w:szCs w:val="20"/>
        </w:rPr>
        <w:t xml:space="preserve">ca7773b</w:t>
      </w:r>
      <w:r>
        <w:rPr>
          <w:rFonts w:ascii="Times New Roman" w:cs="Times New Roman" w:eastAsia="Times New Roman" w:hAnsi="Times New Roman"/>
          <w:sz w:val="22"/>
          <w:szCs w:val="22"/>
        </w:rPr>
        <w:t xml:space="preserve">) and which were written afterwards, including the driver script, the item-universe amendment, and a post-freeze correction to a confidence-interval </w:t>
      </w:r>
      <w:r>
        <w:rPr>
          <w:rFonts w:ascii="Times New Roman" w:cs="Times New Roman" w:eastAsia="Times New Roman" w:hAnsi="Times New Roman"/>
          <w:i/>
          <w:iCs/>
          <w:sz w:val="22"/>
          <w:szCs w:val="22"/>
        </w:rPr>
        <w:t xml:space="preserve">report</w:t>
      </w:r>
      <w:r>
        <w:rPr>
          <w:rFonts w:ascii="Times New Roman" w:cs="Times New Roman" w:eastAsia="Times New Roman" w:hAnsi="Times New Roman"/>
          <w:sz w:val="22"/>
          <w:szCs w:val="22"/>
        </w:rPr>
        <w:t xml:space="preserve"> that left every estimate unchanged. A mirror is archived independently at the Internet Archive (</w:t>
      </w:r>
      <w:r>
        <w:rPr>
          <w:rFonts w:ascii="Consolas" w:cs="Consolas" w:eastAsia="Consolas" w:hAnsi="Consolas"/>
          <w:sz w:val="20"/>
          <w:szCs w:val="20"/>
        </w:rPr>
        <w:t xml:space="preserve">osf-registrations-2436z-v1</w:t>
      </w:r>
      <w:r>
        <w:rPr>
          <w:rFonts w:ascii="Times New Roman" w:cs="Times New Roman" w:eastAsia="Times New Roman" w:hAnsi="Times New Roman"/>
          <w:sz w:val="22"/>
          <w:szCs w:val="22"/>
        </w:rPr>
        <w:t xml:space="preserve">), giving a second timestamp not under author control.</w:t>
      </w:r>
    </w:p>
    <w:p>
      <w:pPr>
        <w:pStyle w:val="Heading2"/>
      </w:pPr>
      <w:r>
        <w:rPr>
          <w:rFonts w:ascii="Times New Roman" w:cs="Times New Roman" w:eastAsia="Times New Roman" w:hAnsi="Times New Roman"/>
          <w:sz w:val="22"/>
          <w:szCs w:val="22"/>
        </w:rPr>
        <w:t xml:space="preserve">9.2 What the audit reduces to, and why that is the point</w:t>
      </w:r>
    </w:p>
    <w:p>
      <w:pPr>
        <w:spacing w:after="120" w:line="300"/>
        <w:jc w:val="both"/>
      </w:pPr>
      <w:r>
        <w:rPr>
          <w:rFonts w:ascii="Times New Roman" w:cs="Times New Roman" w:eastAsia="Times New Roman" w:hAnsi="Times New Roman"/>
          <w:sz w:val="22"/>
          <w:szCs w:val="22"/>
        </w:rPr>
        <w:t xml:space="preserve">A reader who works through §5 will notice something the headline conceals, so we state it ourselves. In the single-draw binary regime the simple bound gives Γ*(π) = Δ̂ / (π(1+ρ)). The pre-registered rule "non-robust iff Γ*(0.1) &lt; Λ_ref" is therefore </w:t>
      </w:r>
      <w:r>
        <w:rPr>
          <w:rFonts w:ascii="Times New Roman" w:cs="Times New Roman" w:eastAsia="Times New Roman" w:hAnsi="Times New Roman"/>
          <w:i/>
          <w:iCs/>
          <w:sz w:val="22"/>
          <w:szCs w:val="22"/>
        </w:rPr>
        <w:t xml:space="preserve">algebraically identical</w:t>
      </w:r>
      <w:r>
        <w:rPr>
          <w:rFonts w:ascii="Times New Roman" w:cs="Times New Roman" w:eastAsia="Times New Roman" w:hAnsi="Times New Roman"/>
          <w:sz w:val="22"/>
          <w:szCs w:val="22"/>
        </w:rPr>
        <w:t xml:space="preserve"> to</w:t>
      </w:r>
    </w:p>
    <w:p>
      <w:pPr>
        <w:spacing w:after="120" w:before="120"/>
        <w:jc w:val="center"/>
      </w:pPr>
      <w:r>
        <w:rPr>
          <w:rFonts w:ascii="Times New Roman" w:cs="Times New Roman" w:eastAsia="Times New Roman" w:hAnsi="Times New Roman"/>
          <w:sz w:val="22"/>
          <w:szCs w:val="22"/>
        </w:rPr>
        <w:t xml:space="preserve">Δ̂ &lt; π · Λ_ref = 0.0355 (0.042 on HellaSwag),</w:t>
      </w:r>
    </w:p>
    <w:p>
      <w:pPr>
        <w:spacing w:after="120" w:line="300"/>
        <w:jc w:val="both"/>
      </w:pPr>
      <w:r>
        <w:rPr>
          <w:rFonts w:ascii="Times New Roman" w:cs="Times New Roman" w:eastAsia="Times New Roman" w:hAnsi="Times New Roman"/>
          <w:sz w:val="22"/>
          <w:szCs w:val="22"/>
        </w:rPr>
        <w:t xml:space="preserve">a threshold on the raw margin. We verified this holds for all 58 claims. The confirmatory audit could have been executed with a ruler.</w:t>
      </w:r>
    </w:p>
    <w:p>
      <w:pPr>
        <w:spacing w:after="120" w:line="300"/>
        <w:jc w:val="both"/>
      </w:pPr>
      <w:r>
        <w:rPr>
          <w:rFonts w:ascii="Times New Roman" w:cs="Times New Roman" w:eastAsia="Times New Roman" w:hAnsi="Times New Roman"/>
          <w:sz w:val="22"/>
          <w:szCs w:val="22"/>
        </w:rPr>
        <w:t xml:space="preserve">This is not a defect; it is the result. Three points follow.</w:t>
      </w:r>
    </w:p>
    <w:p>
      <w:pPr>
        <w:spacing w:after="120" w:line="300"/>
        <w:jc w:val="both"/>
      </w:pPr>
      <w:r>
        <w:rPr>
          <w:rFonts w:ascii="Times New Roman" w:cs="Times New Roman" w:eastAsia="Times New Roman" w:hAnsi="Times New Roman"/>
          <w:b/>
          <w:bCs/>
          <w:sz w:val="22"/>
          <w:szCs w:val="22"/>
        </w:rPr>
        <w:t xml:space="preserve">First, the arithmetic was never the hard part.</w:t>
      </w:r>
      <w:r>
        <w:rPr>
          <w:rFonts w:ascii="Times New Roman" w:cs="Times New Roman" w:eastAsia="Times New Roman" w:hAnsi="Times New Roman"/>
          <w:sz w:val="22"/>
          <w:szCs w:val="22"/>
        </w:rPr>
        <w:t xml:space="preserve"> Anyone can declare that gaps below three-and-a-half points are untrustworthy. The question is </w:t>
      </w:r>
      <w:r>
        <w:rPr>
          <w:rFonts w:ascii="Times New Roman" w:cs="Times New Roman" w:eastAsia="Times New Roman" w:hAnsi="Times New Roman"/>
          <w:i/>
          <w:iCs/>
          <w:sz w:val="22"/>
          <w:szCs w:val="22"/>
        </w:rPr>
        <w:t xml:space="preserve">which</w:t>
      </w:r>
      <w:r>
        <w:rPr>
          <w:rFonts w:ascii="Times New Roman" w:cs="Times New Roman" w:eastAsia="Times New Roman" w:hAnsi="Times New Roman"/>
          <w:sz w:val="22"/>
          <w:szCs w:val="22"/>
        </w:rPr>
        <w:t xml:space="preserve"> threshold is defensible, and that is a measurement problem, not an arithmetic one. Our threshold is not chosen for convenience: it is π times the median of eight quality-filtered estimates of contamination-induced lift, converted to a common headroom parametrisation (§8), frozen before unblinding, and attached to a third-party timestamp. The contribution is the derivation of 0.0355 from contamination evidence, not the comparison against it. Strip out the theory and you have a number nobody can justify; strip out the arithmetic and you have lost nothing.</w:t>
      </w:r>
    </w:p>
    <w:p>
      <w:pPr>
        <w:spacing w:after="120" w:line="300"/>
        <w:jc w:val="both"/>
      </w:pPr>
      <w:r>
        <w:rPr>
          <w:rFonts w:ascii="Times New Roman" w:cs="Times New Roman" w:eastAsia="Times New Roman" w:hAnsi="Times New Roman"/>
          <w:b/>
          <w:bCs/>
          <w:sz w:val="22"/>
          <w:szCs w:val="22"/>
        </w:rPr>
        <w:t xml:space="preserve">Second, the reduction is a property of the regime, not of the method.</w:t>
      </w:r>
      <w:r>
        <w:rPr>
          <w:rFonts w:ascii="Times New Roman" w:cs="Times New Roman" w:eastAsia="Times New Roman" w:hAnsi="Times New Roman"/>
          <w:sz w:val="22"/>
          <w:szCs w:val="22"/>
        </w:rPr>
        <w:t xml:space="preserve"> Γ* collapses to Δ̂/π only when items are binary and measured once, because the per-item deflation capacity degenerates (Lemma A.1): d(0) = d(1) = 0 for every Λ &lt; 1. That is a statement about how impoverished single-draw accuracy data is, and it is worth hearing — and it is now a theorem, not an observation. Theorem 5 (Appendix A.9) shows that with one binary draw per item the observable law is Bernoulli in the mean alone, exhibits two indistinguishable populations whose clean means differ by exactly πΛ, and concludes that </w:t>
      </w:r>
      <w:r>
        <w:rPr>
          <w:rFonts w:ascii="Times New Roman" w:cs="Times New Roman" w:eastAsia="Times New Roman" w:hAnsi="Times New Roman"/>
          <w:i/>
          <w:iCs/>
          <w:sz w:val="22"/>
          <w:szCs w:val="22"/>
        </w:rPr>
        <w:t xml:space="preserve">no</w:t>
      </w:r>
      <w:r>
        <w:rPr>
          <w:rFonts w:ascii="Times New Roman" w:cs="Times New Roman" w:eastAsia="Times New Roman" w:hAnsi="Times New Roman"/>
          <w:sz w:val="22"/>
          <w:szCs w:val="22"/>
        </w:rPr>
        <w:t xml:space="preserve"> procedure, ours or anyone's, can certify robustness beyond Δ̂/(π(1+ρ)) from such data. The ruler is minimax-optimal. Where richer data exists the machinery genuinely separates: with continuous per-item scores the sharp knapsack binds strictly tighter than πΛ (§9, TSFM atlas), and at m = 20 repeated draws it certifies Γ* = 0.172 against the simple bound's 0.154 (§10). The leaderboards audited here publish the weakest data they could; the reduction is the price of that, and it is the argument for §10's prescription that benchmarks publish repeated draws.</w:t>
      </w:r>
    </w:p>
    <w:p>
      <w:pPr>
        <w:spacing w:after="120" w:line="300"/>
        <w:jc w:val="both"/>
      </w:pPr>
      <w:r>
        <w:rPr>
          <w:rFonts w:ascii="Times New Roman" w:cs="Times New Roman" w:eastAsia="Times New Roman" w:hAnsi="Times New Roman"/>
          <w:b/>
          <w:bCs/>
          <w:sz w:val="22"/>
          <w:szCs w:val="22"/>
        </w:rPr>
        <w:t xml:space="preserve">Third, the reduction is what makes the result auditable.</w:t>
      </w:r>
      <w:r>
        <w:rPr>
          <w:rFonts w:ascii="Times New Roman" w:cs="Times New Roman" w:eastAsia="Times New Roman" w:hAnsi="Times New Roman"/>
          <w:sz w:val="22"/>
          <w:szCs w:val="22"/>
        </w:rPr>
        <w:t xml:space="preserve"> Because the rule is transparent, a sceptical reader can re-derive every classification from the published margins without trusting our code, and can immediately see what would change it.</w:t>
      </w:r>
    </w:p>
    <w:p>
      <w:pPr>
        <w:spacing w:after="120" w:line="300"/>
        <w:jc w:val="both"/>
      </w:pPr>
      <w:r>
        <w:rPr>
          <w:rFonts w:ascii="Times New Roman" w:cs="Times New Roman" w:eastAsia="Times New Roman" w:hAnsi="Times New Roman"/>
          <w:b/>
          <w:bCs/>
          <w:sz w:val="22"/>
          <w:szCs w:val="22"/>
        </w:rPr>
        <w:t xml:space="preserve">Sensitivity to the frozen constant (Fig. 4 / f18).</w:t>
      </w:r>
      <w:r>
        <w:rPr>
          <w:rFonts w:ascii="Times New Roman" w:cs="Times New Roman" w:eastAsia="Times New Roman" w:hAnsi="Times New Roman"/>
          <w:sz w:val="22"/>
          <w:szCs w:val="22"/>
        </w:rPr>
        <w:t xml:space="preserve"> Since the decision depends on π and Λ only through their product, the entire (π, Λ) plane collapses to a single curve, which we sweep. The fraction of non-robust claims is 44.8% at Λ = 0.10, 70.7% at 0.20, 82.8% at 0.30, 84.5% at the frozen 0.355, and is flat at 84.5% throughout Λ ∈ [0.355, 0.50]. H4 clears its 25% bar for </w:t>
      </w:r>
      <w:r>
        <w:rPr>
          <w:rFonts w:ascii="Times New Roman" w:cs="Times New Roman" w:eastAsia="Times New Roman" w:hAnsi="Times New Roman"/>
          <w:b/>
          <w:bCs/>
          <w:sz w:val="22"/>
          <w:szCs w:val="22"/>
        </w:rPr>
        <w:t xml:space="preserve">every Λ ≥ 0.055</w:t>
      </w:r>
      <w:r>
        <w:rPr>
          <w:rFonts w:ascii="Times New Roman" w:cs="Times New Roman" w:eastAsia="Times New Roman" w:hAnsi="Times New Roman"/>
          <w:sz w:val="22"/>
          <w:szCs w:val="22"/>
        </w:rPr>
        <w:t xml:space="preserve"> and is significant at α = 0.05 for every Λ ≥ 0.080. For the headline to fail, true contamination strength would have to sit below Λ ≈ 0.055: beneath the floor of the calibrated field range [0.10, 0.45], below seven of the eight quality-eligible estimates, and an order of magnitude below the concentrated-exposure ceiling we measured directly (§7). The qualitative finding survives any calibration a reviewer could reasonably substitute; only the exact percentage moves.</w:t>
      </w:r>
    </w:p>
    <w:p>
      <w:pPr>
        <w:spacing w:after="60" w:before="160"/>
        <w:jc w:val="center"/>
      </w:pPr>
      <w:r>
        <w:drawing>
          <wp:inline distT="0" distB="0" distL="0" distR="0">
            <wp:extent cx="5715000" cy="3286125"/>
            <wp:effectExtent t="0" r="0" b="0" l="0"/>
            <wp:docPr id="1" name="f18_lambda_sensitivity.png" descr="Figure 4: The headline does not hinge on the frozen constant. Because the decision rule depends on (π, Λ) only through B = π·Λ, the whole plane collapses to one curve. H4 clears its pre-registered 25% bar for every Λ ≥ 0.055, below the floor of the calibrated field range (shaded)." title="Figure 4: The headline does not hinge on the frozen const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286125"/>
                    </a:xfrm>
                    <a:prstGeom prst="rect">
                      <a:avLst/>
                    </a:prstGeom>
                  </pic:spPr>
                </pic:pic>
              </a:graphicData>
            </a:graphic>
          </wp:inline>
        </w:drawing>
      </w:r>
    </w:p>
    <w:p>
      <w:pPr>
        <w:spacing w:after="240"/>
        <w:jc w:val="both"/>
      </w:pPr>
      <w:r>
        <w:rPr>
          <w:rFonts w:ascii="Times New Roman" w:cs="Times New Roman" w:eastAsia="Times New Roman" w:hAnsi="Times New Roman"/>
          <w:sz w:val="19"/>
          <w:szCs w:val="19"/>
        </w:rPr>
        <w:t xml:space="preserve">Figure 4: The headline does not hinge on the frozen constant. Because the decision rule depends on (π, Λ) only through B = π·Λ, the whole plane collapses to one curve. H4 clears its pre-registered 25% bar for every Λ ≥ 0.055, below the floor of the calibrated field range (shaded).</w:t>
      </w:r>
    </w:p>
    <w:p>
      <w:pPr>
        <w:pStyle w:val="Heading2"/>
      </w:pPr>
      <w:r>
        <w:rPr>
          <w:rFonts w:ascii="Times New Roman" w:cs="Times New Roman" w:eastAsia="Times New Roman" w:hAnsi="Times New Roman"/>
          <w:sz w:val="22"/>
          <w:szCs w:val="22"/>
        </w:rPr>
        <w:t xml:space="preserve">9.3 Is the headline an artifact of auditing adjacent pairs?</w:t>
      </w:r>
    </w:p>
    <w:p>
      <w:pPr>
        <w:spacing w:after="120" w:line="300"/>
        <w:jc w:val="both"/>
      </w:pPr>
      <w:r>
        <w:rPr>
          <w:rFonts w:ascii="Times New Roman" w:cs="Times New Roman" w:eastAsia="Times New Roman" w:hAnsi="Times New Roman"/>
          <w:sz w:val="22"/>
          <w:szCs w:val="22"/>
        </w:rPr>
        <w:t xml:space="preserve">Adjacent pairs are </w:t>
      </w:r>
      <w:r>
        <w:rPr>
          <w:rFonts w:ascii="Times New Roman" w:cs="Times New Roman" w:eastAsia="Times New Roman" w:hAnsi="Times New Roman"/>
          <w:i/>
          <w:iCs/>
          <w:sz w:val="22"/>
          <w:szCs w:val="22"/>
        </w:rPr>
        <w:t xml:space="preserve">selected</w:t>
      </w:r>
      <w:r>
        <w:rPr>
          <w:rFonts w:ascii="Times New Roman" w:cs="Times New Roman" w:eastAsia="Times New Roman" w:hAnsi="Times New Roman"/>
          <w:sz w:val="22"/>
          <w:szCs w:val="22"/>
        </w:rPr>
        <w:t xml:space="preserve"> to have the smallest margins in a ranking, so the objection writes itself: 84.5% may be induced by the claim-selection rule rather than by contamination sensitivity. We take the objection seriously enough to measure it. Applying the identical frozen rule to </w:t>
      </w:r>
      <w:r>
        <w:rPr>
          <w:rFonts w:ascii="Times New Roman" w:cs="Times New Roman" w:eastAsia="Times New Roman" w:hAnsi="Times New Roman"/>
          <w:b/>
          <w:bCs/>
          <w:sz w:val="22"/>
          <w:szCs w:val="22"/>
        </w:rPr>
        <w:t xml:space="preserve">all 450 model pairs</w:t>
      </w:r>
      <w:r>
        <w:rPr>
          <w:rFonts w:ascii="Times New Roman" w:cs="Times New Roman" w:eastAsia="Times New Roman" w:hAnsi="Times New Roman"/>
          <w:sz w:val="22"/>
          <w:szCs w:val="22"/>
        </w:rPr>
        <w:t xml:space="preserve"> across the four tasks (the full comparison set, no selection) gives 30.4% non-robust. Stratifying by rank gap:</w:t>
      </w:r>
    </w:p>
    <w:tbl>
      <w:tblPr>
        <w:tblW w:type="dxa" w:w="6552"/>
        <w:jc w:val="center"/>
        <w:tblBorders>
          <w:top w:val="single" w:color="auto" w:sz="4"/>
          <w:left w:val="single" w:color="auto" w:sz="4"/>
          <w:bottom w:val="single" w:color="auto" w:sz="4"/>
          <w:right w:val="single" w:color="auto" w:sz="4"/>
          <w:insideH w:val="single" w:color="auto" w:sz="4"/>
          <w:insideV w:val="single" w:color="auto" w:sz="4"/>
        </w:tblBorders>
      </w:tblPr>
      <w:tblGrid>
        <w:gridCol w:w="2184"/>
        <w:gridCol w:w="2184"/>
        <w:gridCol w:w="2184"/>
      </w:tblGrid>
      <w:tr>
        <w:tc>
          <w:tcPr>
            <w:tcW w:type="dxa" w:w="2184"/>
            <w:tcBorders>
              <w:top w:val="single" w:color="999999" w:sz="2"/>
              <w:left w:val="single" w:color="999999" w:sz="2"/>
              <w:bottom w:val="single" w:color="999999" w:sz="2"/>
              <w:right w:val="single" w:color="999999" w:sz="2"/>
            </w:tcBorders>
            <w:shd w:fill="EFEFEF"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rank gap</w:t>
            </w:r>
          </w:p>
        </w:tc>
        <w:tc>
          <w:tcPr>
            <w:tcW w:type="dxa" w:w="2184"/>
            <w:tcBorders>
              <w:top w:val="single" w:color="999999" w:sz="2"/>
              <w:left w:val="single" w:color="999999" w:sz="2"/>
              <w:bottom w:val="single" w:color="999999" w:sz="2"/>
              <w:right w:val="single" w:color="999999" w:sz="2"/>
            </w:tcBorders>
            <w:shd w:fill="EFEFEF"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non-robust</w:t>
            </w:r>
          </w:p>
        </w:tc>
        <w:tc>
          <w:tcPr>
            <w:tcW w:type="dxa" w:w="2184"/>
            <w:tcBorders>
              <w:top w:val="single" w:color="999999" w:sz="2"/>
              <w:left w:val="single" w:color="999999" w:sz="2"/>
              <w:bottom w:val="single" w:color="999999" w:sz="2"/>
              <w:right w:val="single" w:color="999999" w:sz="2"/>
            </w:tcBorders>
            <w:shd w:fill="EFEFEF"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median margin</w:t>
            </w:r>
          </w:p>
        </w:tc>
      </w:tr>
      <w:tr>
        <w:tc>
          <w:tcPr>
            <w:tcW w:type="dxa" w:w="2184"/>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1 (adjacent)</w:t>
            </w:r>
          </w:p>
        </w:tc>
        <w:tc>
          <w:tcPr>
            <w:tcW w:type="dxa" w:w="2184"/>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49/58 = </w:t>
            </w:r>
            <w:r>
              <w:rPr>
                <w:rFonts w:ascii="Times New Roman" w:cs="Times New Roman" w:eastAsia="Times New Roman" w:hAnsi="Times New Roman"/>
                <w:b/>
                <w:bCs/>
                <w:sz w:val="22"/>
                <w:szCs w:val="22"/>
              </w:rPr>
              <w:t xml:space="preserve">84.5%</w:t>
            </w:r>
          </w:p>
        </w:tc>
        <w:tc>
          <w:tcPr>
            <w:tcW w:type="dxa" w:w="2184"/>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0.011</w:t>
            </w:r>
          </w:p>
        </w:tc>
      </w:tr>
      <w:tr>
        <w:tc>
          <w:tcPr>
            <w:tcW w:type="dxa" w:w="2184"/>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2</w:t>
            </w:r>
          </w:p>
        </w:tc>
        <w:tc>
          <w:tcPr>
            <w:tcW w:type="dxa" w:w="2184"/>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39/54 = 72.2%</w:t>
            </w:r>
          </w:p>
        </w:tc>
        <w:tc>
          <w:tcPr>
            <w:tcW w:type="dxa" w:w="2184"/>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0.023</w:t>
            </w:r>
          </w:p>
        </w:tc>
      </w:tr>
      <w:tr>
        <w:tc>
          <w:tcPr>
            <w:tcW w:type="dxa" w:w="2184"/>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3</w:t>
            </w:r>
          </w:p>
        </w:tc>
        <w:tc>
          <w:tcPr>
            <w:tcW w:type="dxa" w:w="2184"/>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28/50 = 56.0%</w:t>
            </w:r>
          </w:p>
        </w:tc>
        <w:tc>
          <w:tcPr>
            <w:tcW w:type="dxa" w:w="2184"/>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0.033</w:t>
            </w:r>
          </w:p>
        </w:tc>
      </w:tr>
      <w:tr>
        <w:tc>
          <w:tcPr>
            <w:tcW w:type="dxa" w:w="2184"/>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4</w:t>
            </w:r>
          </w:p>
        </w:tc>
        <w:tc>
          <w:tcPr>
            <w:tcW w:type="dxa" w:w="2184"/>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16/46 = 34.8%</w:t>
            </w:r>
          </w:p>
        </w:tc>
        <w:tc>
          <w:tcPr>
            <w:tcW w:type="dxa" w:w="2184"/>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0.046</w:t>
            </w:r>
          </w:p>
        </w:tc>
      </w:tr>
      <w:tr>
        <w:tc>
          <w:tcPr>
            <w:tcW w:type="dxa" w:w="2184"/>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5</w:t>
            </w:r>
          </w:p>
        </w:tc>
        <w:tc>
          <w:tcPr>
            <w:tcW w:type="dxa" w:w="2184"/>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5/42 = 11.9%</w:t>
            </w:r>
          </w:p>
        </w:tc>
        <w:tc>
          <w:tcPr>
            <w:tcW w:type="dxa" w:w="2184"/>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0.054</w:t>
            </w:r>
          </w:p>
        </w:tc>
      </w:tr>
      <w:tr>
        <w:tc>
          <w:tcPr>
            <w:tcW w:type="dxa" w:w="2184"/>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 6</w:t>
            </w:r>
          </w:p>
        </w:tc>
        <w:tc>
          <w:tcPr>
            <w:tcW w:type="dxa" w:w="2184"/>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0/102 = </w:t>
            </w:r>
            <w:r>
              <w:rPr>
                <w:rFonts w:ascii="Times New Roman" w:cs="Times New Roman" w:eastAsia="Times New Roman" w:hAnsi="Times New Roman"/>
                <w:b/>
                <w:bCs/>
                <w:sz w:val="22"/>
                <w:szCs w:val="22"/>
              </w:rPr>
              <w:t xml:space="preserve">0.0%</w:t>
            </w:r>
          </w:p>
        </w:tc>
        <w:tc>
          <w:tcPr>
            <w:tcW w:type="dxa" w:w="2184"/>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 0.068</w:t>
            </w:r>
          </w:p>
        </w:tc>
      </w:tr>
    </w:tbl>
    <w:p>
      <w:pPr>
        <w:spacing w:after="120"/>
      </w:pPr>
    </w:p>
    <w:p>
      <w:pPr>
        <w:spacing w:after="120" w:line="300"/>
        <w:jc w:val="both"/>
      </w:pPr>
      <w:r>
        <w:rPr>
          <w:rFonts w:ascii="Times New Roman" w:cs="Times New Roman" w:eastAsia="Times New Roman" w:hAnsi="Times New Roman"/>
          <w:sz w:val="22"/>
          <w:szCs w:val="22"/>
        </w:rPr>
        <w:t xml:space="preserve">The objection is correct that adjacency selects small margins — and the gradient it produces is the cleanest quantitative statement of our thesis that the paper contains. Robustness is not uniformly absent: it is a monotone function of how far apart two models sit. Comparisons across five or more rank positions are essentially all robust (2.1% non-robust at gap ≥ 5); comparisons between neighbours are essentially all fragile. That is precisely "the ordering of eras is contamination-robust, the ordering of neighbours is not," now with a dose-response curve behind it.</w:t>
      </w:r>
    </w:p>
    <w:p>
      <w:pPr>
        <w:spacing w:after="120" w:line="300"/>
        <w:jc w:val="both"/>
      </w:pPr>
      <w:r>
        <w:rPr>
          <w:rFonts w:ascii="Times New Roman" w:cs="Times New Roman" w:eastAsia="Times New Roman" w:hAnsi="Times New Roman"/>
          <w:sz w:val="22"/>
          <w:szCs w:val="22"/>
        </w:rPr>
        <w:t xml:space="preserve">We therefore report both numbers, and are explicit about which claim each supports. The 30.4% all-pairs figure is the answer to "how often does contamination sensitivity matter across arbitrary model comparisons." The 84.5% adjacent figure is the answer to the question a leaderboard actually poses, because a leaderboard is an ordering: it invites the reader to compare entry k with entry k+1, and those are the comparisons that do not survive. Neither number is the headline alone; the gradient is.</w:t>
      </w:r>
    </w:p>
    <w:p>
      <w:pPr>
        <w:spacing w:after="120" w:line="300"/>
        <w:jc w:val="both"/>
      </w:pPr>
      <w:r>
        <w:rPr>
          <w:rFonts w:ascii="Times New Roman" w:cs="Times New Roman" w:eastAsia="Times New Roman" w:hAnsi="Times New Roman"/>
          <w:b/>
          <w:bCs/>
          <w:sz w:val="22"/>
          <w:szCs w:val="22"/>
        </w:rPr>
        <w:t xml:space="preserve">What would change our mind.</w:t>
      </w:r>
      <w:r>
        <w:rPr>
          <w:rFonts w:ascii="Times New Roman" w:cs="Times New Roman" w:eastAsia="Times New Roman" w:hAnsi="Times New Roman"/>
          <w:sz w:val="22"/>
          <w:szCs w:val="22"/>
        </w:rPr>
        <w:t xml:space="preserve"> The finding is falsifiable on three fronts, pre-specified in the registration. (i) If contamination-induced lift in the wild were measured at Λ &lt; 0.055 for these benchmarks, H4 would fail; that is a single well-designed injection study away, and we would report it. (ii) If the A1 bounded-headroom envelope were rejected at calibrated Λ, the audit would be re-run under the full-memorization channel and both reported. (iii) If per-item records for these leaderboards proved systematically unusable, the corpus falls back to continuous-score data and the substitution is disclosed. None of these is a hypothetical hedge; each is a study someone could run against us.</w:t>
      </w:r>
    </w:p>
    <w:p>
      <w:pPr>
        <w:pStyle w:val="Heading1"/>
      </w:pPr>
      <w:r>
        <w:rPr>
          <w:rFonts w:ascii="Times New Roman" w:cs="Times New Roman" w:eastAsia="Times New Roman" w:hAnsi="Times New Roman"/>
          <w:sz w:val="22"/>
          <w:szCs w:val="22"/>
        </w:rPr>
        <w:t xml:space="preserve">10. Design sensitivity: what buys robustness</w:t>
      </w:r>
    </w:p>
    <w:p>
      <w:pPr>
        <w:spacing w:after="120" w:line="300"/>
        <w:jc w:val="both"/>
      </w:pPr>
      <w:r>
        <w:rPr>
          <w:rFonts w:ascii="Times New Roman" w:cs="Times New Roman" w:eastAsia="Times New Roman" w:hAnsi="Times New Roman"/>
          <w:sz w:val="22"/>
          <w:szCs w:val="22"/>
        </w:rPr>
        <w:t xml:space="preserve">Two quantified prescriptions for benchmark builders. </w:t>
      </w:r>
      <w:r>
        <w:rPr>
          <w:rFonts w:ascii="Times New Roman" w:cs="Times New Roman" w:eastAsia="Times New Roman" w:hAnsi="Times New Roman"/>
          <w:b/>
          <w:bCs/>
          <w:sz w:val="22"/>
          <w:szCs w:val="22"/>
        </w:rPr>
        <w:t xml:space="preserve">Freshness:</w:t>
      </w:r>
      <w:r>
        <w:rPr>
          <w:rFonts w:ascii="Times New Roman" w:cs="Times New Roman" w:eastAsia="Times New Roman" w:hAnsi="Times New Roman"/>
          <w:sz w:val="22"/>
          <w:szCs w:val="22"/>
        </w:rPr>
        <w:t xml:space="preserve"> at a 3-point margin, raising the post-cutoff item fraction from 0 to 90% lifts Γ* from 0.168 to 0.453, from fragile-everywhere to robust across the calibrated range. Dating your items is not hygiene; it is identification. </w:t>
      </w:r>
      <w:r>
        <w:rPr>
          <w:rFonts w:ascii="Times New Roman" w:cs="Times New Roman" w:eastAsia="Times New Roman" w:hAnsi="Times New Roman"/>
          <w:b/>
          <w:bCs/>
          <w:sz w:val="22"/>
          <w:szCs w:val="22"/>
        </w:rPr>
        <w:t xml:space="preserve">Repeated draws:</w:t>
      </w:r>
      <w:r>
        <w:rPr>
          <w:rFonts w:ascii="Times New Roman" w:cs="Times New Roman" w:eastAsia="Times New Roman" w:hAnsi="Times New Roman"/>
          <w:sz w:val="22"/>
          <w:szCs w:val="22"/>
        </w:rPr>
        <w:t xml:space="preserve"> at m = 20 draws the sharp bound certifies Γ* = 0.172 versus 0.154 for the simple bound (~12% more certified robustness), and below m = 10 the sharp bound is unreliable (§6). Publishing ≥ 10 draws per item is what entitles a benchmark to sharp identification.</w:t>
      </w:r>
    </w:p>
    <w:p>
      <w:pPr>
        <w:pStyle w:val="Heading1"/>
      </w:pPr>
      <w:r>
        <w:rPr>
          <w:rFonts w:ascii="Times New Roman" w:cs="Times New Roman" w:eastAsia="Times New Roman" w:hAnsi="Times New Roman"/>
          <w:sz w:val="22"/>
          <w:szCs w:val="22"/>
        </w:rPr>
        <w:t xml:space="preserve">11. Limitations and threats to validity</w:t>
      </w:r>
    </w:p>
    <w:p>
      <w:pPr>
        <w:spacing w:after="120" w:line="300"/>
        <w:jc w:val="both"/>
      </w:pPr>
      <w:r>
        <w:rPr>
          <w:rFonts w:ascii="Times New Roman" w:cs="Times New Roman" w:eastAsia="Times New Roman" w:hAnsi="Times New Roman"/>
          <w:sz w:val="22"/>
          <w:szCs w:val="22"/>
        </w:rPr>
        <w:t xml:space="preserve">(1) A1's channel shape is validated with real memorization at small scale, LLM scale, and now under corpus dilution (§7); the remaining gap is scale itself: our largest injection model is 1.5B parameters and the dilution sweep covers two models, one π, and three seeds. The replication showed seed noise is small where it matters (0.012 at the consolidation endpoint) and large at concentrated single exposure (0.31), and the per-claim conclusions quoted here are the seed-stable ones. The dose-1 diluted endpoint lands inside the field range in every seed; whether that interpolation holds at 70B-scale pretraining is an extrapolation we flag, not a measurement we own. (2) In the single-draw binary regime (most current leaderboards), (Λ, π) enter only through their product; the 2-D frontier earns its second dimension only under repeated draws or provenance strata; we say so plainly, and §10 is the constructive answer. (3) Λ calibration from pre/post-cutoff comparisons can be confounded by temporal drift; the pre-registration pairs items on difficulty and reports calibration uncertainty. (4) Both case studies are exploratory; the headline audit is governed by a pre-registration frozen before any confirmatory Γ* is computed. (5) ε-spillover should vanish at LLM corpus scale but is measured, not assumed. (6) This artifact was audited by its own author (four forensic iterations, including a critical binary-regime guard); an independent adversarial audit is the correct next scrutiny, and has not yet happened. We do not paper over this. The repository carries a verification log recording every attempt to re-run the artifact, each entry labelled by the runner's independence. It currently holds two. The first is author-level and established only that the replication instructions execute from a clean clone, after fixing a step that did not. The second is coauthor-level: a second author cloned the public repository and re-derived every file in </w:t>
      </w:r>
      <w:r>
        <w:rPr>
          <w:rFonts w:ascii="Consolas" w:cs="Consolas" w:eastAsia="Consolas" w:hAnsi="Consolas"/>
          <w:sz w:val="20"/>
          <w:szCs w:val="20"/>
        </w:rPr>
        <w:t xml:space="preserve">results/</w:t>
      </w:r>
      <w:r>
        <w:rPr>
          <w:rFonts w:ascii="Times New Roman" w:cs="Times New Roman" w:eastAsia="Times New Roman" w:hAnsi="Times New Roman"/>
          <w:sz w:val="22"/>
          <w:szCs w:val="22"/>
        </w:rPr>
        <w:t xml:space="preserve"> byte-identically, all steps passing. Both ran on the same machine and interpreter, so neither speaks to cross-platform reproduction, and neither is independent in the sense that matters here. Readers can see the state of verification rather than infer it. The fifteen-minute path is documented in </w:t>
      </w:r>
      <w:r>
        <w:rPr>
          <w:rFonts w:ascii="Consolas" w:cs="Consolas" w:eastAsia="Consolas" w:hAnsi="Consolas"/>
          <w:sz w:val="20"/>
          <w:szCs w:val="20"/>
        </w:rPr>
        <w:t xml:space="preserve">REPLICATION.md</w:t>
      </w:r>
      <w:r>
        <w:rPr>
          <w:rFonts w:ascii="Times New Roman" w:cs="Times New Roman" w:eastAsia="Times New Roman" w:hAnsi="Times New Roman"/>
          <w:sz w:val="22"/>
          <w:szCs w:val="22"/>
        </w:rPr>
        <w:t xml:space="preserve">, and discrepancy reports of any size are solicited.</w:t>
      </w:r>
    </w:p>
    <w:p>
      <w:pPr>
        <w:spacing w:after="120" w:line="300"/>
        <w:jc w:val="both"/>
      </w:pPr>
      <w:r>
        <w:rPr>
          <w:rFonts w:ascii="Times New Roman" w:cs="Times New Roman" w:eastAsia="Times New Roman" w:hAnsi="Times New Roman"/>
          <w:i/>
          <w:iCs/>
          <w:sz w:val="22"/>
          <w:szCs w:val="22"/>
        </w:rPr>
        <w:t xml:space="preserve">Formal statements and proofs of Propositions 1–3, Theorem 4, and the supporting lemmas (R2 degeneracy, finite-draw bias directions, Imbens–Manski properties, spillover extension) are in Appendix A (`appendix_proofs.md`), each pinned to a named unit test.</w:t>
      </w:r>
    </w:p>
    <w:p>
      <w:pPr>
        <w:pStyle w:val="Heading1"/>
      </w:pPr>
      <w:r>
        <w:rPr>
          <w:rFonts w:ascii="Times New Roman" w:cs="Times New Roman" w:eastAsia="Times New Roman" w:hAnsi="Times New Roman"/>
          <w:sz w:val="22"/>
          <w:szCs w:val="22"/>
        </w:rPr>
        <w:t xml:space="preserve">12. Conclusion</w:t>
      </w:r>
    </w:p>
    <w:p>
      <w:pPr>
        <w:spacing w:after="120" w:line="300"/>
        <w:jc w:val="both"/>
      </w:pPr>
      <w:r>
        <w:rPr>
          <w:rFonts w:ascii="Times New Roman" w:cs="Times New Roman" w:eastAsia="Times New Roman" w:hAnsi="Times New Roman"/>
          <w:sz w:val="22"/>
          <w:szCs w:val="22"/>
        </w:rPr>
        <w:t xml:space="preserve">The question "is this benchmark contaminated?" has no answer for a closed-weight model, and forty years of causal inference say the right response is to change the question. This paper asked "how much contamination would it take to overturn this claim?" and built the full chain needed to answer it: a sensitivity model whose axioms were tested against real memorization and twice repaired when they failed, sharp bounds with estimation theory, a calibration of contamination strength that the corpus-dilution experiment now reproduces in the laboratory for the scraped-pretraining case, and a pre-registered audit whose every constant was frozen and timestamped before unblinding.</w:t>
      </w:r>
    </w:p>
    <w:p>
      <w:pPr>
        <w:spacing w:after="120" w:line="300"/>
        <w:jc w:val="both"/>
      </w:pPr>
      <w:r>
        <w:rPr>
          <w:rFonts w:ascii="Times New Roman" w:cs="Times New Roman" w:eastAsia="Times New Roman" w:hAnsi="Times New Roman"/>
          <w:sz w:val="22"/>
          <w:szCs w:val="22"/>
        </w:rPr>
        <w:t xml:space="preserve">The empirical picture is specific. Robustness on the Open LLM Leaderboard is a monotone function of rank distance: comparisons across five or more positions essentially all survive, while 84.5% of neighbouring claims do not. A leaderboard is trustworthy about which era of models beats which, and untrustworthy about the pairwise comparisons its ranking format actively invites. The remedy costs one column: report Γ* next to every margin, and let readers see which claims would survive the contamination everyone already suspects. Benchmarks that want more than the simple bound can earn it with published repeated draws and dated items; §10 prices both.</w:t>
      </w:r>
    </w:p>
    <w:p>
      <w:pPr>
        <w:pStyle w:val="Heading1"/>
      </w:pPr>
      <w:r>
        <w:rPr>
          <w:rFonts w:ascii="Times New Roman" w:cs="Times New Roman" w:eastAsia="Times New Roman" w:hAnsi="Times New Roman"/>
          <w:sz w:val="22"/>
          <w:szCs w:val="22"/>
        </w:rPr>
        <w:t xml:space="preserve">13. Reproducibility statement</w:t>
      </w:r>
    </w:p>
    <w:p>
      <w:pPr>
        <w:spacing w:after="120" w:line="300"/>
        <w:jc w:val="both"/>
      </w:pPr>
      <w:r>
        <w:rPr>
          <w:rFonts w:ascii="Times New Roman" w:cs="Times New Roman" w:eastAsia="Times New Roman" w:hAnsi="Times New Roman"/>
          <w:sz w:val="22"/>
          <w:szCs w:val="22"/>
        </w:rPr>
        <w:t xml:space="preserve">Code, data artifacts, and this manuscript are public at </w:t>
      </w:r>
      <w:hyperlink w:history="1" r:id="rIdt3qatdumgtjsmja8h7isd">
        <w:r>
          <w:rPr>
            <w:rFonts w:ascii="Times New Roman" w:cs="Times New Roman" w:eastAsia="Times New Roman" w:hAnsi="Times New Roman"/>
            <w:color w:val="0563C1"/>
            <w:sz w:val="22"/>
            <w:szCs w:val="22"/>
            <w:u w:val="single"/>
          </w:rPr>
          <w:t xml:space="preserve">https://github.com/tanviranjumjoarder/contamsens</w:t>
        </w:r>
      </w:hyperlink>
      <w:r>
        <w:rPr>
          <w:rFonts w:ascii="Times New Roman" w:cs="Times New Roman" w:eastAsia="Times New Roman" w:hAnsi="Times New Roman"/>
          <w:sz w:val="22"/>
          <w:szCs w:val="22"/>
        </w:rPr>
        <w:t xml:space="preserve"> (MIT). Seed 42 throughout; exact-version lock (</w:t>
      </w:r>
      <w:r>
        <w:rPr>
          <w:rFonts w:ascii="Consolas" w:cs="Consolas" w:eastAsia="Consolas" w:hAnsi="Consolas"/>
          <w:sz w:val="20"/>
          <w:szCs w:val="20"/>
        </w:rPr>
        <w:t xml:space="preserve">requirements.txt</w:t>
      </w:r>
      <w:r>
        <w:rPr>
          <w:rFonts w:ascii="Times New Roman" w:cs="Times New Roman" w:eastAsia="Times New Roman" w:hAnsi="Times New Roman"/>
          <w:sz w:val="22"/>
          <w:szCs w:val="22"/>
        </w:rPr>
        <w:t xml:space="preserve">); 57 unit tests including constructive sharpness attainment; </w:t>
      </w:r>
      <w:r>
        <w:rPr>
          <w:rFonts w:ascii="Consolas" w:cs="Consolas" w:eastAsia="Consolas" w:hAnsi="Consolas"/>
          <w:sz w:val="20"/>
          <w:szCs w:val="20"/>
        </w:rPr>
        <w:t xml:space="preserve">python reproduce.py</w:t>
      </w:r>
      <w:r>
        <w:rPr>
          <w:rFonts w:ascii="Times New Roman" w:cs="Times New Roman" w:eastAsia="Times New Roman" w:hAnsi="Times New Roman"/>
          <w:sz w:val="22"/>
          <w:szCs w:val="22"/>
        </w:rPr>
        <w:t xml:space="preserve"> regenerates every fast number in under two minutes (</w:t>
      </w:r>
      <w:r>
        <w:rPr>
          <w:rFonts w:ascii="Consolas" w:cs="Consolas" w:eastAsia="Consolas" w:hAnsi="Consolas"/>
          <w:sz w:val="20"/>
          <w:szCs w:val="20"/>
        </w:rPr>
        <w:t xml:space="preserve">--full</w:t>
      </w:r>
      <w:r>
        <w:rPr>
          <w:rFonts w:ascii="Times New Roman" w:cs="Times New Roman" w:eastAsia="Times New Roman" w:hAnsi="Times New Roman"/>
          <w:sz w:val="22"/>
          <w:szCs w:val="22"/>
        </w:rPr>
        <w:t xml:space="preserve"> adds the twin-training grid, ~30 min, CPU); every reported number maps to its generating script in PROVENANCE.md; the package installs via </w:t>
      </w:r>
      <w:r>
        <w:rPr>
          <w:rFonts w:ascii="Consolas" w:cs="Consolas" w:eastAsia="Consolas" w:hAnsi="Consolas"/>
          <w:sz w:val="20"/>
          <w:szCs w:val="20"/>
        </w:rPr>
        <w:t xml:space="preserve">pip install -e .</w:t>
      </w:r>
      <w:r>
        <w:rPr>
          <w:rFonts w:ascii="Times New Roman" w:cs="Times New Roman" w:eastAsia="Times New Roman" w:hAnsi="Times New Roman"/>
          <w:sz w:val="22"/>
          <w:szCs w:val="22"/>
        </w:rPr>
        <w:t xml:space="preserve"> (v0.2.0).</w:t>
      </w:r>
    </w:p>
    <w:p>
      <w:pPr>
        <w:spacing w:after="120" w:line="300"/>
        <w:jc w:val="both"/>
      </w:pPr>
      <w:r>
        <w:rPr>
          <w:rFonts w:ascii="Times New Roman" w:cs="Times New Roman" w:eastAsia="Times New Roman" w:hAnsi="Times New Roman"/>
          <w:sz w:val="22"/>
          <w:szCs w:val="22"/>
        </w:rPr>
        <w:t xml:space="preserve">The confirmatory analysis (§9.1) was pre-registered at </w:t>
      </w:r>
      <w:hyperlink w:history="1" r:id="rId7j1fjsnfeppwgsz4ezesn">
        <w:r>
          <w:rPr>
            <w:rFonts w:ascii="Times New Roman" w:cs="Times New Roman" w:eastAsia="Times New Roman" w:hAnsi="Times New Roman"/>
            <w:color w:val="0563C1"/>
            <w:sz w:val="22"/>
            <w:szCs w:val="22"/>
            <w:u w:val="single"/>
          </w:rPr>
          <w:t xml:space="preserve">https://osf.io/2436z</w:t>
        </w:r>
      </w:hyperlink>
      <w:r>
        <w:rPr>
          <w:rFonts w:ascii="Times New Roman" w:cs="Times New Roman" w:eastAsia="Times New Roman" w:hAnsi="Times New Roman"/>
          <w:sz w:val="22"/>
          <w:szCs w:val="22"/>
        </w:rPr>
        <w:t xml:space="preserve"> (DOI </w:t>
      </w:r>
      <w:r>
        <w:rPr>
          <w:rFonts w:ascii="Consolas" w:cs="Consolas" w:eastAsia="Consolas" w:hAnsi="Consolas"/>
          <w:sz w:val="20"/>
          <w:szCs w:val="20"/>
        </w:rPr>
        <w:t xml:space="preserve">10.17605/OSF.IO/2436Z</w:t>
      </w:r>
      <w:r>
        <w:rPr>
          <w:rFonts w:ascii="Times New Roman" w:cs="Times New Roman" w:eastAsia="Times New Roman" w:hAnsi="Times New Roman"/>
          <w:sz w:val="22"/>
          <w:szCs w:val="22"/>
        </w:rPr>
        <w:t xml:space="preserve">, 20 July 2026), with the analysis library and calibration constants frozen beforehand at git tag </w:t>
      </w:r>
      <w:r>
        <w:rPr>
          <w:rFonts w:ascii="Consolas" w:cs="Consolas" w:eastAsia="Consolas" w:hAnsi="Consolas"/>
          <w:sz w:val="20"/>
          <w:szCs w:val="20"/>
        </w:rPr>
        <w:t xml:space="preserve">prereg-freeze-v1.0</w:t>
      </w:r>
      <w:r>
        <w:rPr>
          <w:rFonts w:ascii="Times New Roman" w:cs="Times New Roman" w:eastAsia="Times New Roman" w:hAnsi="Times New Roman"/>
          <w:sz w:val="22"/>
          <w:szCs w:val="22"/>
        </w:rPr>
        <w:t xml:space="preserve"> (commit </w:t>
      </w:r>
      <w:r>
        <w:rPr>
          <w:rFonts w:ascii="Consolas" w:cs="Consolas" w:eastAsia="Consolas" w:hAnsi="Consolas"/>
          <w:sz w:val="20"/>
          <w:szCs w:val="20"/>
        </w:rPr>
        <w:t xml:space="preserve">ca7773b</w:t>
      </w:r>
      <w:r>
        <w:rPr>
          <w:rFonts w:ascii="Times New Roman" w:cs="Times New Roman" w:eastAsia="Times New Roman" w:hAnsi="Times New Roman"/>
          <w:sz w:val="22"/>
          <w:szCs w:val="22"/>
        </w:rPr>
        <w:t xml:space="preserve">, publicly resolvable in the repository above, so the freeze is independently checkable rather than asserted). </w:t>
      </w:r>
      <w:r>
        <w:rPr>
          <w:rFonts w:ascii="Consolas" w:cs="Consolas" w:eastAsia="Consolas" w:hAnsi="Consolas"/>
          <w:sz w:val="20"/>
          <w:szCs w:val="20"/>
        </w:rPr>
        <w:t xml:space="preserve">PREREGISTRATION.md</w:t>
      </w:r>
      <w:r>
        <w:rPr>
          <w:rFonts w:ascii="Times New Roman" w:cs="Times New Roman" w:eastAsia="Times New Roman" w:hAnsi="Times New Roman"/>
          <w:sz w:val="22"/>
          <w:szCs w:val="22"/>
        </w:rPr>
        <w:t xml:space="preserve">, </w:t>
      </w:r>
      <w:r>
        <w:rPr>
          <w:rFonts w:ascii="Consolas" w:cs="Consolas" w:eastAsia="Consolas" w:hAnsi="Consolas"/>
          <w:sz w:val="20"/>
          <w:szCs w:val="20"/>
        </w:rPr>
        <w:t xml:space="preserve">THEORY.md</w:t>
      </w:r>
      <w:r>
        <w:rPr>
          <w:rFonts w:ascii="Times New Roman" w:cs="Times New Roman" w:eastAsia="Times New Roman" w:hAnsi="Times New Roman"/>
          <w:sz w:val="22"/>
          <w:szCs w:val="22"/>
        </w:rPr>
        <w:t xml:space="preserve">, and </w:t>
      </w:r>
      <w:r>
        <w:rPr>
          <w:rFonts w:ascii="Consolas" w:cs="Consolas" w:eastAsia="Consolas" w:hAnsi="Consolas"/>
          <w:sz w:val="20"/>
          <w:szCs w:val="20"/>
        </w:rPr>
        <w:t xml:space="preserve">results/lambda_priors.csv</w:t>
      </w:r>
      <w:r>
        <w:rPr>
          <w:rFonts w:ascii="Times New Roman" w:cs="Times New Roman" w:eastAsia="Times New Roman" w:hAnsi="Times New Roman"/>
          <w:sz w:val="22"/>
          <w:szCs w:val="22"/>
        </w:rPr>
        <w:t xml:space="preserve"> in the repository are byte-identical to that tag and to the copies attached to the registration; deviations and post-freeze changes are enumerated in the chain-of-custody addendum filed with it, not silently absorbed.</w:t>
      </w:r>
    </w:p>
    <w:p>
      <w:pPr>
        <w:pStyle w:val="Heading1"/>
        <w:pageBreakBefore/>
      </w:pPr>
      <w:r>
        <w:rPr>
          <w:rFonts w:ascii="Times New Roman" w:cs="Times New Roman" w:eastAsia="Times New Roman" w:hAnsi="Times New Roman"/>
          <w:sz w:val="22"/>
          <w:szCs w:val="22"/>
        </w:rPr>
        <w:t xml:space="preserve">Appendix A — Proofs</w:t>
      </w:r>
    </w:p>
    <w:p>
      <w:pPr>
        <w:spacing w:after="120" w:line="300"/>
        <w:jc w:val="both"/>
      </w:pPr>
      <w:r>
        <w:rPr>
          <w:rFonts w:ascii="Times New Roman" w:cs="Times New Roman" w:eastAsia="Times New Roman" w:hAnsi="Times New Roman"/>
          <w:i/>
          <w:iCs/>
          <w:sz w:val="22"/>
          <w:szCs w:val="22"/>
        </w:rPr>
        <w:t xml:space="preserve">Companion to `manuscript.md`; every result is implemented in `src/contamsens` and pinned by a unit test named in brackets.</w:t>
      </w:r>
    </w:p>
    <w:p>
      <w:pPr>
        <w:pStyle w:val="Heading1"/>
      </w:pPr>
      <w:r>
        <w:rPr>
          <w:rFonts w:ascii="Times New Roman" w:cs="Times New Roman" w:eastAsia="Times New Roman" w:hAnsi="Times New Roman"/>
          <w:sz w:val="22"/>
          <w:szCs w:val="22"/>
        </w:rPr>
        <w:t xml:space="preserve">A.1 Setup and notation</w:t>
      </w:r>
    </w:p>
    <w:p>
      <w:pPr>
        <w:spacing w:after="120" w:line="300"/>
        <w:jc w:val="both"/>
      </w:pPr>
      <w:r>
        <w:rPr>
          <w:rFonts w:ascii="Times New Roman" w:cs="Times New Roman" w:eastAsia="Times New Roman" w:hAnsi="Times New Roman"/>
          <w:sz w:val="22"/>
          <w:szCs w:val="22"/>
        </w:rPr>
        <w:t xml:space="preserve">Items i = 1,…,n. For a fixed model, observed scores y = (y₁,…,y_n) ∈ [0,1]ⁿ, clean (counterfactual) scores y* ∈ [0,1]ⁿ, latent contamination c ∈ {0,1}ⁿ. Estimand θ = n⁻¹Σᵢ y*ᵢ; observed mean μ̂ = n⁻¹Σᵢ yᵢ.</w:t>
      </w:r>
    </w:p>
    <w:p>
      <w:pPr>
        <w:spacing w:after="120" w:line="300"/>
        <w:jc w:val="both"/>
      </w:pPr>
      <w:r>
        <w:rPr>
          <w:rFonts w:ascii="Times New Roman" w:cs="Times New Roman" w:eastAsia="Times New Roman" w:hAnsi="Times New Roman"/>
          <w:b/>
          <w:bCs/>
          <w:sz w:val="22"/>
          <w:szCs w:val="22"/>
        </w:rPr>
        <w:t xml:space="preserve">CSM(Λ, π)</w:t>
      </w:r>
      <w:r>
        <w:rPr>
          <w:rFonts w:ascii="Times New Roman" w:cs="Times New Roman" w:eastAsia="Times New Roman" w:hAnsi="Times New Roman"/>
          <w:sz w:val="22"/>
          <w:szCs w:val="22"/>
        </w:rPr>
        <w:t xml:space="preserve"> (Λ, π ∈ [0,1]): (A1) 0 ≤ yᵢ − y*ᵢ ≤ cᵢ Λ (1 − y*ᵢ) for all i;  (A2) n⁻¹Σᵢ cᵢ ≤ π.</w:t>
      </w:r>
    </w:p>
    <w:p>
      <w:pPr>
        <w:spacing w:after="120" w:line="300"/>
        <w:jc w:val="both"/>
      </w:pPr>
      <w:r>
        <w:rPr>
          <w:rFonts w:ascii="Times New Roman" w:cs="Times New Roman" w:eastAsia="Times New Roman" w:hAnsi="Times New Roman"/>
          <w:sz w:val="22"/>
          <w:szCs w:val="22"/>
        </w:rPr>
        <w:t xml:space="preserve">Define, for Λ &lt; 1, the </w:t>
      </w:r>
      <w:r>
        <w:rPr>
          <w:rFonts w:ascii="Times New Roman" w:cs="Times New Roman" w:eastAsia="Times New Roman" w:hAnsi="Times New Roman"/>
          <w:b/>
          <w:bCs/>
          <w:sz w:val="22"/>
          <w:szCs w:val="22"/>
        </w:rPr>
        <w:t xml:space="preserve">floor</w:t>
      </w:r>
      <w:r>
        <w:rPr>
          <w:rFonts w:ascii="Times New Roman" w:cs="Times New Roman" w:eastAsia="Times New Roman" w:hAnsi="Times New Roman"/>
          <w:sz w:val="22"/>
          <w:szCs w:val="22"/>
        </w:rPr>
        <w:t xml:space="preserve"> ℓᵢ(Λ) = max{0, (yᵢ − Λ)/(1 − Λ)} and the </w:t>
      </w:r>
      <w:r>
        <w:rPr>
          <w:rFonts w:ascii="Times New Roman" w:cs="Times New Roman" w:eastAsia="Times New Roman" w:hAnsi="Times New Roman"/>
          <w:b/>
          <w:bCs/>
          <w:sz w:val="22"/>
          <w:szCs w:val="22"/>
        </w:rPr>
        <w:t xml:space="preserve">deflation capacity</w:t>
      </w:r>
      <w:r>
        <w:rPr>
          <w:rFonts w:ascii="Times New Roman" w:cs="Times New Roman" w:eastAsia="Times New Roman" w:hAnsi="Times New Roman"/>
          <w:sz w:val="22"/>
          <w:szCs w:val="22"/>
        </w:rPr>
        <w:t xml:space="preserve"> dᵢ(Λ) = yᵢ − ℓᵢ(Λ); for Λ = 1, ℓᵢ = 0, dᵢ = yᵢ. Write k = ⌈πn⌉ ∧ n and let d₍₁₎ ≥ … ≥ d₍ₙ₎ be the sorted capacities.</w:t>
      </w:r>
    </w:p>
    <w:p>
      <w:pPr>
        <w:spacing w:after="120" w:line="300"/>
        <w:jc w:val="both"/>
      </w:pPr>
      <w:r>
        <w:rPr>
          <w:rFonts w:ascii="Times New Roman" w:cs="Times New Roman" w:eastAsia="Times New Roman" w:hAnsi="Times New Roman"/>
          <w:b/>
          <w:bCs/>
          <w:sz w:val="22"/>
          <w:szCs w:val="22"/>
        </w:rPr>
        <w:t xml:space="preserve">Lemma A.0 (capacity form).</w:t>
      </w:r>
      <w:r>
        <w:rPr>
          <w:rFonts w:ascii="Times New Roman" w:cs="Times New Roman" w:eastAsia="Times New Roman" w:hAnsi="Times New Roman"/>
          <w:sz w:val="22"/>
          <w:szCs w:val="22"/>
        </w:rPr>
        <w:t xml:space="preserve"> For Λ ∈ (0,1), dᵢ(Λ) = yᵢ if yᵢ ≤ Λ, and dᵢ(Λ) = Λ(1−yᵢ)/(1−Λ) if yᵢ &gt; Λ. Moreover dᵢ(Λ) = min{ yᵢ, Λ(1−yᵢ)/(1−Λ) }, hence dᵢ is the minimum of two affine functions of yᵢ and is </w:t>
      </w:r>
      <w:r>
        <w:rPr>
          <w:rFonts w:ascii="Times New Roman" w:cs="Times New Roman" w:eastAsia="Times New Roman" w:hAnsi="Times New Roman"/>
          <w:b/>
          <w:bCs/>
          <w:sz w:val="22"/>
          <w:szCs w:val="22"/>
        </w:rPr>
        <w:t xml:space="preserve">concave in yᵢ</w:t>
      </w:r>
      <w:r>
        <w:rPr>
          <w:rFonts w:ascii="Times New Roman" w:cs="Times New Roman" w:eastAsia="Times New Roman" w:hAnsi="Times New Roman"/>
          <w:sz w:val="22"/>
          <w:szCs w:val="22"/>
        </w:rPr>
        <w:t xml:space="preserve">; it is continuous, maximized at yᵢ = Λ with value Λ, and nondecreasing in Λ. </w:t>
      </w:r>
      <w:r>
        <w:rPr>
          <w:rFonts w:ascii="Times New Roman" w:cs="Times New Roman" w:eastAsia="Times New Roman" w:hAnsi="Times New Roman"/>
          <w:i/>
          <w:iCs/>
          <w:sz w:val="22"/>
          <w:szCs w:val="22"/>
        </w:rPr>
        <w:t xml:space="preserve">Proof.</w:t>
      </w:r>
      <w:r>
        <w:rPr>
          <w:rFonts w:ascii="Times New Roman" w:cs="Times New Roman" w:eastAsia="Times New Roman" w:hAnsi="Times New Roman"/>
          <w:sz w:val="22"/>
          <w:szCs w:val="22"/>
        </w:rPr>
        <w:t xml:space="preserve"> Solving (A1) for y*ᵢ with cᵢ = 1: yᵢ ≤ Λ + (1−Λ)y*ᵢ ⟺ y*ᵢ ≥ (yᵢ−Λ)/(1−Λ); intersect with y*ᵢ ≥ 0. The min form follows by checking which branch binds at yᵢ ⋚ Λ; the derivative of the right branch in Λ is (1−yᵢ)/(1−Λ)² ≥ 0. ∎ [</w:t>
      </w:r>
      <w:r>
        <w:rPr>
          <w:rFonts w:ascii="Consolas" w:cs="Consolas" w:eastAsia="Consolas" w:hAnsi="Consolas"/>
          <w:sz w:val="20"/>
          <w:szCs w:val="20"/>
        </w:rPr>
        <w:t xml:space="preserve">test_deflation_hand_computed</w:t>
      </w:r>
      <w:r>
        <w:rPr>
          <w:rFonts w:ascii="Times New Roman" w:cs="Times New Roman" w:eastAsia="Times New Roman" w:hAnsi="Times New Roman"/>
          <w:sz w:val="22"/>
          <w:szCs w:val="22"/>
        </w:rPr>
        <w:t xml:space="preserve">, </w:t>
      </w:r>
      <w:r>
        <w:rPr>
          <w:rFonts w:ascii="Consolas" w:cs="Consolas" w:eastAsia="Consolas" w:hAnsi="Consolas"/>
          <w:sz w:val="20"/>
          <w:szCs w:val="20"/>
        </w:rPr>
        <w:t xml:space="preserve">test_deflation_peak_at_lambda</w:t>
      </w:r>
      <w:r>
        <w:rPr>
          <w:rFonts w:ascii="Times New Roman" w:cs="Times New Roman" w:eastAsia="Times New Roman" w:hAnsi="Times New Roman"/>
          <w:sz w:val="22"/>
          <w:szCs w:val="22"/>
        </w:rPr>
        <w:t xml:space="preserve">]</w:t>
      </w:r>
    </w:p>
    <w:p>
      <w:pPr>
        <w:pStyle w:val="Heading1"/>
      </w:pPr>
      <w:r>
        <w:rPr>
          <w:rFonts w:ascii="Times New Roman" w:cs="Times New Roman" w:eastAsia="Times New Roman" w:hAnsi="Times New Roman"/>
          <w:sz w:val="22"/>
          <w:szCs w:val="22"/>
        </w:rPr>
        <w:t xml:space="preserve">A.2 Proposition 1 (sharp identified set)</w:t>
      </w:r>
    </w:p>
    <w:p>
      <w:pPr>
        <w:spacing w:after="120" w:line="300"/>
        <w:jc w:val="both"/>
      </w:pPr>
      <w:r>
        <w:rPr>
          <w:rFonts w:ascii="Times New Roman" w:cs="Times New Roman" w:eastAsia="Times New Roman" w:hAnsi="Times New Roman"/>
          <w:b/>
          <w:bCs/>
          <w:sz w:val="22"/>
          <w:szCs w:val="22"/>
        </w:rPr>
        <w:t xml:space="preserve">Statement.</w:t>
      </w:r>
      <w:r>
        <w:rPr>
          <w:rFonts w:ascii="Times New Roman" w:cs="Times New Roman" w:eastAsia="Times New Roman" w:hAnsi="Times New Roman"/>
          <w:sz w:val="22"/>
          <w:szCs w:val="22"/>
        </w:rPr>
        <w:t xml:space="preserve"> Under CSM(Λ, π), the identified set for θ given y is exactly the interval  Θ(y) = [ μ̂ − B(Λ, π),  μ̂ ],  where B(Λ, π) = n⁻¹ Σ_{j=1}^{k} d₍ⱼ₎(Λ).</w:t>
      </w:r>
    </w:p>
    <w:p>
      <w:pPr>
        <w:spacing w:after="120" w:line="300"/>
        <w:jc w:val="both"/>
      </w:pPr>
      <w:r>
        <w:rPr>
          <w:rFonts w:ascii="Times New Roman" w:cs="Times New Roman" w:eastAsia="Times New Roman" w:hAnsi="Times New Roman"/>
          <w:b/>
          <w:bCs/>
          <w:sz w:val="22"/>
          <w:szCs w:val="22"/>
        </w:rPr>
        <w:t xml:space="preserve">Proof.</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w:t>
      </w:r>
      <w:r>
        <w:rPr>
          <w:rFonts w:ascii="Times New Roman" w:cs="Times New Roman" w:eastAsia="Times New Roman" w:hAnsi="Times New Roman"/>
          <w:sz w:val="22"/>
          <w:szCs w:val="22"/>
        </w:rPr>
        <w:t xml:space="preserve"> For any feasible (c, y*), θ = μ̂ − n⁻¹Σ_{i: cᵢ=1}(yᵢ−y*ᵢ). Each term obeys 0 ≤ yᵢ − y*ᵢ ≤ dᵢ(Λ) (Lemma A.0), and at most k indices have cᵢ = 1; the sum of any ≤ k capacities is at most the sum of the k largest. Hence θ ∈ [μ̂ − B, μ̂]. </w:t>
      </w:r>
      <w:r>
        <w:rPr>
          <w:rFonts w:ascii="Times New Roman" w:cs="Times New Roman" w:eastAsia="Times New Roman" w:hAnsi="Times New Roman"/>
          <w:i/>
          <w:iCs/>
          <w:sz w:val="22"/>
          <w:szCs w:val="22"/>
        </w:rPr>
        <w:t xml:space="preserve">(⊇, sharpness)</w:t>
      </w:r>
      <w:r>
        <w:rPr>
          <w:rFonts w:ascii="Times New Roman" w:cs="Times New Roman" w:eastAsia="Times New Roman" w:hAnsi="Times New Roman"/>
          <w:sz w:val="22"/>
          <w:szCs w:val="22"/>
        </w:rPr>
        <w:t xml:space="preserve"> The upper endpoint is attained by c ≡ 0, y* = y. The lower endpoint is attained by setting cᵢ = 1 exactly on an argmax set S of k capacities and y*ᵢ = ℓᵢ(Λ) for i ∈ S, y*ᵢ = yᵢ otherwise; feasibility of (A1) holds by construction of ℓᵢ (the constructed lift equals the cap). Intermediate values are attained by scaling y*ᵢ continuously between ℓᵢ and yᵢ on S (θ is continuous in that scaling), so Θ(y) is the full interval. ∎ [</w:t>
      </w:r>
      <w:r>
        <w:rPr>
          <w:rFonts w:ascii="Consolas" w:cs="Consolas" w:eastAsia="Consolas" w:hAnsi="Consolas"/>
          <w:sz w:val="20"/>
          <w:szCs w:val="20"/>
        </w:rPr>
        <w:t xml:space="preserve">test_sharpness_attained</w:t>
      </w:r>
      <w:r>
        <w:rPr>
          <w:rFonts w:ascii="Times New Roman" w:cs="Times New Roman" w:eastAsia="Times New Roman" w:hAnsi="Times New Roman"/>
          <w:sz w:val="22"/>
          <w:szCs w:val="22"/>
        </w:rPr>
        <w:t xml:space="preserve">, </w:t>
      </w:r>
      <w:r>
        <w:rPr>
          <w:rFonts w:ascii="Consolas" w:cs="Consolas" w:eastAsia="Consolas" w:hAnsi="Consolas"/>
          <w:sz w:val="20"/>
          <w:szCs w:val="20"/>
        </w:rPr>
        <w:t xml:space="preserve">test_interval_contains_mu_and_is_ordered</w:t>
      </w:r>
      <w:r>
        <w:rPr>
          <w:rFonts w:ascii="Times New Roman" w:cs="Times New Roman" w:eastAsia="Times New Roman" w:hAnsi="Times New Roman"/>
          <w:sz w:val="22"/>
          <w:szCs w:val="22"/>
        </w:rPr>
        <w:t xml:space="preserve">]</w:t>
      </w:r>
    </w:p>
    <w:p>
      <w:pPr>
        <w:spacing w:after="120" w:line="300"/>
        <w:jc w:val="both"/>
      </w:pPr>
      <w:r>
        <w:rPr>
          <w:rFonts w:ascii="Times New Roman" w:cs="Times New Roman" w:eastAsia="Times New Roman" w:hAnsi="Times New Roman"/>
          <w:b/>
          <w:bCs/>
          <w:sz w:val="22"/>
          <w:szCs w:val="22"/>
        </w:rPr>
        <w:t xml:space="preserve">Corollary 1 (distribution-free width).</w:t>
      </w:r>
      <w:r>
        <w:rPr>
          <w:rFonts w:ascii="Times New Roman" w:cs="Times New Roman" w:eastAsia="Times New Roman" w:hAnsi="Times New Roman"/>
          <w:sz w:val="22"/>
          <w:szCs w:val="22"/>
        </w:rPr>
        <w:t xml:space="preserve"> B(Λ, π) ≤ πΛ + Λ/n, with n⁻¹ k max_i dᵢ ≤ (π + 1/n)Λ by Lemma A.0's maximum; in particular the identified-set width is at most πΛ up to the ⌈·⌉ rounding term, and the bound is achieved when k items sit at yᵢ = Λ. [</w:t>
      </w:r>
      <w:r>
        <w:rPr>
          <w:rFonts w:ascii="Consolas" w:cs="Consolas" w:eastAsia="Consolas" w:hAnsi="Consolas"/>
          <w:sz w:val="20"/>
          <w:szCs w:val="20"/>
        </w:rPr>
        <w:t xml:space="preserve">test_simple_bound_dominates_sharp</w:t>
      </w:r>
      <w:r>
        <w:rPr>
          <w:rFonts w:ascii="Times New Roman" w:cs="Times New Roman" w:eastAsia="Times New Roman" w:hAnsi="Times New Roman"/>
          <w:sz w:val="22"/>
          <w:szCs w:val="22"/>
        </w:rPr>
        <w:t xml:space="preserve">]</w:t>
      </w:r>
    </w:p>
    <w:p>
      <w:pPr>
        <w:spacing w:after="120" w:line="300"/>
        <w:jc w:val="both"/>
      </w:pPr>
      <w:r>
        <w:rPr>
          <w:rFonts w:ascii="Times New Roman" w:cs="Times New Roman" w:eastAsia="Times New Roman" w:hAnsi="Times New Roman"/>
          <w:b/>
          <w:bCs/>
          <w:sz w:val="22"/>
          <w:szCs w:val="22"/>
        </w:rPr>
        <w:t xml:space="preserve">Corollary 2 (reductions).</w:t>
      </w:r>
      <w:r>
        <w:rPr>
          <w:rFonts w:ascii="Times New Roman" w:cs="Times New Roman" w:eastAsia="Times New Roman" w:hAnsi="Times New Roman"/>
          <w:sz w:val="22"/>
          <w:szCs w:val="22"/>
        </w:rPr>
        <w:t xml:space="preserve"> B(0, π) = B(Λ, 0) = 0, so Θ collapses to {μ̂}: sampling-only analyses (e.g. rank intervals) are the Λ = 0 special case. [</w:t>
      </w:r>
      <w:r>
        <w:rPr>
          <w:rFonts w:ascii="Consolas" w:cs="Consolas" w:eastAsia="Consolas" w:hAnsi="Consolas"/>
          <w:sz w:val="20"/>
          <w:szCs w:val="20"/>
        </w:rPr>
        <w:t xml:space="preserve">test_reduction_at_zero</w:t>
      </w:r>
      <w:r>
        <w:rPr>
          <w:rFonts w:ascii="Times New Roman" w:cs="Times New Roman" w:eastAsia="Times New Roman" w:hAnsi="Times New Roman"/>
          <w:sz w:val="22"/>
          <w:szCs w:val="22"/>
        </w:rPr>
        <w:t xml:space="preserve">]</w:t>
      </w:r>
    </w:p>
    <w:p>
      <w:pPr>
        <w:spacing w:after="120" w:line="300"/>
        <w:jc w:val="both"/>
      </w:pPr>
      <w:r>
        <w:rPr>
          <w:rFonts w:ascii="Times New Roman" w:cs="Times New Roman" w:eastAsia="Times New Roman" w:hAnsi="Times New Roman"/>
          <w:b/>
          <w:bCs/>
          <w:sz w:val="22"/>
          <w:szCs w:val="22"/>
        </w:rPr>
        <w:t xml:space="preserve">Lemma A.1 (R2 degeneracy).</w:t>
      </w:r>
      <w:r>
        <w:rPr>
          <w:rFonts w:ascii="Times New Roman" w:cs="Times New Roman" w:eastAsia="Times New Roman" w:hAnsi="Times New Roman"/>
          <w:sz w:val="22"/>
          <w:szCs w:val="22"/>
        </w:rPr>
        <w:t xml:space="preserve"> If yᵢ ∈ {0,1} for all i and Λ &lt; 1, then dᵢ(Λ) = 0 for all i, hence B(Λ, π) = 0, while B(1, π) = n⁻¹Σ_{j≤k} y₍ⱼ₎: B(·, π) is identically zero on [0,1) with a jump at Λ = 1. Consequently the per-item machinery is vacuous on single-draw binary data and the population simple bound (width πΛ at the probability level) must be used. </w:t>
      </w:r>
      <w:r>
        <w:rPr>
          <w:rFonts w:ascii="Times New Roman" w:cs="Times New Roman" w:eastAsia="Times New Roman" w:hAnsi="Times New Roman"/>
          <w:i/>
          <w:iCs/>
          <w:sz w:val="22"/>
          <w:szCs w:val="22"/>
        </w:rPr>
        <w:t xml:space="preserve">Proof.</w:t>
      </w:r>
      <w:r>
        <w:rPr>
          <w:rFonts w:ascii="Times New Roman" w:cs="Times New Roman" w:eastAsia="Times New Roman" w:hAnsi="Times New Roman"/>
          <w:sz w:val="22"/>
          <w:szCs w:val="22"/>
        </w:rPr>
        <w:t xml:space="preserve"> d(0) = 0 (left branch), d(1) = 1·(1−1)/(1−Λ) = 0 (right branch); at Λ = 1, d = y. ∎ [</w:t>
      </w:r>
      <w:r>
        <w:rPr>
          <w:rFonts w:ascii="Consolas" w:cs="Consolas" w:eastAsia="Consolas" w:hAnsi="Consolas"/>
          <w:sz w:val="20"/>
          <w:szCs w:val="20"/>
        </w:rPr>
        <w:t xml:space="preserve">test_sharp_bound_degenerates_on_binary</w:t>
      </w:r>
      <w:r>
        <w:rPr>
          <w:rFonts w:ascii="Times New Roman" w:cs="Times New Roman" w:eastAsia="Times New Roman" w:hAnsi="Times New Roman"/>
          <w:sz w:val="22"/>
          <w:szCs w:val="22"/>
        </w:rPr>
        <w:t xml:space="preserve">, </w:t>
      </w:r>
      <w:r>
        <w:rPr>
          <w:rFonts w:ascii="Consolas" w:cs="Consolas" w:eastAsia="Consolas" w:hAnsi="Consolas"/>
          <w:sz w:val="20"/>
          <w:szCs w:val="20"/>
        </w:rPr>
        <w:t xml:space="preserve">test_ceiling_effect</w:t>
      </w:r>
      <w:r>
        <w:rPr>
          <w:rFonts w:ascii="Times New Roman" w:cs="Times New Roman" w:eastAsia="Times New Roman" w:hAnsi="Times New Roman"/>
          <w:sz w:val="22"/>
          <w:szCs w:val="22"/>
        </w:rPr>
        <w:t xml:space="preserve">]</w:t>
      </w:r>
    </w:p>
    <w:p>
      <w:pPr>
        <w:pStyle w:val="Heading1"/>
      </w:pPr>
      <w:r>
        <w:rPr>
          <w:rFonts w:ascii="Times New Roman" w:cs="Times New Roman" w:eastAsia="Times New Roman" w:hAnsi="Times New Roman"/>
          <w:sz w:val="22"/>
          <w:szCs w:val="22"/>
        </w:rPr>
        <w:t xml:space="preserve">A.3 Proposition 2 (claim robustness) and Γ*</w:t>
      </w:r>
    </w:p>
    <w:p>
      <w:pPr>
        <w:spacing w:after="120" w:line="300"/>
        <w:jc w:val="both"/>
      </w:pPr>
      <w:r>
        <w:rPr>
          <w:rFonts w:ascii="Times New Roman" w:cs="Times New Roman" w:eastAsia="Times New Roman" w:hAnsi="Times New Roman"/>
          <w:b/>
          <w:bCs/>
          <w:sz w:val="22"/>
          <w:szCs w:val="22"/>
        </w:rPr>
        <w:t xml:space="preserve">Statement (two-sided form).</w:t>
      </w:r>
      <w:r>
        <w:rPr>
          <w:rFonts w:ascii="Times New Roman" w:cs="Times New Roman" w:eastAsia="Times New Roman" w:hAnsi="Times New Roman"/>
          <w:sz w:val="22"/>
          <w:szCs w:val="22"/>
        </w:rPr>
        <w:t xml:space="preserve"> For models A, B on shared items with margin Δ̂ = μ̂_A − μ̂_B &gt; 0, under CSM±(Λ, ρΛ, π) applied to both models the claim "A ≻ B holds for the clean scores" is TRUE over the entire identified set iff Δ̂ &gt; B_A(Λ, π) + U_B(ρΛ, π), where U is the inflation analogue of B built from uᵢ(Λ⁻) = min{1 − yᵢ, yᵢΛ⁻/(1−Λ⁻)}.</w:t>
      </w:r>
    </w:p>
    <w:p>
      <w:pPr>
        <w:spacing w:after="120" w:line="300"/>
        <w:jc w:val="both"/>
      </w:pPr>
      <w:r>
        <w:rPr>
          <w:rFonts w:ascii="Times New Roman" w:cs="Times New Roman" w:eastAsia="Times New Roman" w:hAnsi="Times New Roman"/>
          <w:i/>
          <w:iCs/>
          <w:sz w:val="22"/>
          <w:szCs w:val="22"/>
        </w:rPr>
        <w:t xml:space="preserve">Proof.</w:t>
      </w:r>
      <w:r>
        <w:rPr>
          <w:rFonts w:ascii="Times New Roman" w:cs="Times New Roman" w:eastAsia="Times New Roman" w:hAnsi="Times New Roman"/>
          <w:sz w:val="22"/>
          <w:szCs w:val="22"/>
        </w:rPr>
        <w:t xml:space="preserve"> θ_A ≥ μ̂_A − B_A and θ_B ≤ μ̂_B + U_B, with both endpoints attained (Prop. 1 and its mirror image applied to −y); the extremal joint configuration is feasible because A's and B's contamination assignments are unconstrained across models. Hence min(θ_A − θ_B) = Δ̂ − B_A − U_B. ∎ [</w:t>
      </w:r>
      <w:r>
        <w:rPr>
          <w:rFonts w:ascii="Consolas" w:cs="Consolas" w:eastAsia="Consolas" w:hAnsi="Consolas"/>
          <w:sz w:val="20"/>
          <w:szCs w:val="20"/>
        </w:rPr>
        <w:t xml:space="preserve">test_gamma_star_bisection_consistency</w:t>
      </w:r>
      <w:r>
        <w:rPr>
          <w:rFonts w:ascii="Times New Roman" w:cs="Times New Roman" w:eastAsia="Times New Roman" w:hAnsi="Times New Roman"/>
          <w:sz w:val="22"/>
          <w:szCs w:val="22"/>
        </w:rPr>
        <w:t xml:space="preserve">, </w:t>
      </w:r>
      <w:r>
        <w:rPr>
          <w:rFonts w:ascii="Consolas" w:cs="Consolas" w:eastAsia="Consolas" w:hAnsi="Consolas"/>
          <w:sz w:val="20"/>
          <w:szCs w:val="20"/>
        </w:rPr>
        <w:t xml:space="preserve">test_is_robust_rho_consistent_with_gamma_star</w:t>
      </w:r>
      <w:r>
        <w:rPr>
          <w:rFonts w:ascii="Times New Roman" w:cs="Times New Roman" w:eastAsia="Times New Roman" w:hAnsi="Times New Roman"/>
          <w:sz w:val="22"/>
          <w:szCs w:val="22"/>
        </w:rPr>
        <w:t xml:space="preserve">]</w:t>
      </w:r>
    </w:p>
    <w:p>
      <w:pPr>
        <w:spacing w:after="120" w:line="300"/>
        <w:jc w:val="both"/>
      </w:pPr>
      <w:r>
        <w:rPr>
          <w:rFonts w:ascii="Times New Roman" w:cs="Times New Roman" w:eastAsia="Times New Roman" w:hAnsi="Times New Roman"/>
          <w:b/>
          <w:bCs/>
          <w:sz w:val="22"/>
          <w:szCs w:val="22"/>
        </w:rPr>
        <w:t xml:space="preserve">Definition (Γ*).</w:t>
      </w:r>
      <w:r>
        <w:rPr>
          <w:rFonts w:ascii="Times New Roman" w:cs="Times New Roman" w:eastAsia="Times New Roman" w:hAnsi="Times New Roman"/>
          <w:sz w:val="22"/>
          <w:szCs w:val="22"/>
        </w:rPr>
        <w:t xml:space="preserve"> Γ*(π) = inf{Λ ∈ [0,1] : B_A(Λ,π) + U_B(ρΛ,π) ≥ Δ̂}, with Γ* = ∞ if no such Λ exists. Well-defined by continuity and monotonicity of both maps in Λ (Lemma A.0 and its mirror). In the simple regime the closed form is Γ* = Δ̂ / (π(1+ρ)). [</w:t>
      </w:r>
      <w:r>
        <w:rPr>
          <w:rFonts w:ascii="Consolas" w:cs="Consolas" w:eastAsia="Consolas" w:hAnsi="Consolas"/>
          <w:sz w:val="20"/>
          <w:szCs w:val="20"/>
        </w:rPr>
        <w:t xml:space="preserve">test_gamma_star_simple_closed_form</w:t>
      </w:r>
      <w:r>
        <w:rPr>
          <w:rFonts w:ascii="Times New Roman" w:cs="Times New Roman" w:eastAsia="Times New Roman" w:hAnsi="Times New Roman"/>
          <w:sz w:val="22"/>
          <w:szCs w:val="22"/>
        </w:rPr>
        <w:t xml:space="preserve">, </w:t>
      </w:r>
      <w:r>
        <w:rPr>
          <w:rFonts w:ascii="Consolas" w:cs="Consolas" w:eastAsia="Consolas" w:hAnsi="Consolas"/>
          <w:sz w:val="20"/>
          <w:szCs w:val="20"/>
        </w:rPr>
        <w:t xml:space="preserve">test_gamma_star_twosided_is_smaller</w:t>
      </w:r>
      <w:r>
        <w:rPr>
          <w:rFonts w:ascii="Times New Roman" w:cs="Times New Roman" w:eastAsia="Times New Roman" w:hAnsi="Times New Roman"/>
          <w:sz w:val="22"/>
          <w:szCs w:val="22"/>
        </w:rPr>
        <w:t xml:space="preserve">]</w:t>
      </w:r>
    </w:p>
    <w:p>
      <w:pPr>
        <w:pStyle w:val="Heading1"/>
      </w:pPr>
      <w:r>
        <w:rPr>
          <w:rFonts w:ascii="Times New Roman" w:cs="Times New Roman" w:eastAsia="Times New Roman" w:hAnsi="Times New Roman"/>
          <w:sz w:val="22"/>
          <w:szCs w:val="22"/>
        </w:rPr>
        <w:t xml:space="preserve">A.4 Proposition 3 (selection-bounded bridge)</w:t>
      </w:r>
    </w:p>
    <w:p>
      <w:pPr>
        <w:spacing w:after="120" w:line="300"/>
        <w:jc w:val="both"/>
      </w:pPr>
      <w:r>
        <w:rPr>
          <w:rFonts w:ascii="Times New Roman" w:cs="Times New Roman" w:eastAsia="Times New Roman" w:hAnsi="Times New Roman"/>
          <w:b/>
          <w:bCs/>
          <w:sz w:val="22"/>
          <w:szCs w:val="22"/>
        </w:rPr>
        <w:t xml:space="preserve">Statement.</w:t>
      </w:r>
      <w:r>
        <w:rPr>
          <w:rFonts w:ascii="Times New Roman" w:cs="Times New Roman" w:eastAsia="Times New Roman" w:hAnsi="Times New Roman"/>
          <w:sz w:val="22"/>
          <w:szCs w:val="22"/>
        </w:rPr>
        <w:t xml:space="preserve"> Let contamination be random with propensities qᵢ = P(cᵢ=1) subject to (i) n⁻¹Σqᵢ = π and (ii) odds(qᵢ)/odds(qⱼ) ≤ Γ²_sel for all i,j. Then the worst-case expected bias B(Λ, π, Γ_sel) = max_q n⁻¹Σᵢ qᵢ dᵢ(Λ) satisfies: (a) it is attained by a two-point propensity vector taking values {q_lo, q_hi} with odds(q_hi) = Γ²_sel·odds(q_lo), the high value assigned to the t largest capacities for some t; (b) B(Λ, π, 1) = π d̄ (random contamination) and B(Λ, π, ∞) = the Proposition-1 top-k bound; (c) B is nondecreasing and continuous in Γ_sel.</w:t>
      </w:r>
    </w:p>
    <w:p>
      <w:pPr>
        <w:spacing w:after="120" w:line="300"/>
        <w:jc w:val="both"/>
      </w:pPr>
      <w:r>
        <w:rPr>
          <w:rFonts w:ascii="Times New Roman" w:cs="Times New Roman" w:eastAsia="Times New Roman" w:hAnsi="Times New Roman"/>
          <w:i/>
          <w:iCs/>
          <w:sz w:val="22"/>
          <w:szCs w:val="22"/>
        </w:rPr>
        <w:t xml:space="preserve">Proof.</w:t>
      </w:r>
      <w:r>
        <w:rPr>
          <w:rFonts w:ascii="Times New Roman" w:cs="Times New Roman" w:eastAsia="Times New Roman" w:hAnsi="Times New Roman"/>
          <w:sz w:val="22"/>
          <w:szCs w:val="22"/>
        </w:rPr>
        <w:t xml:space="preserve"> (a) The objective is linear in q over the polytope defined by (i)–(ii); extreme points of that polytope have coordinates taking at most two distinct values with the odds constraint active between them (any three distinct values admit a feasible transfer increasing the objective: move mass toward larger dᵢ). Given the two values, assigning q_hi to the largest capacities is optimal by rearrangement. (b) At Γ_sel = 1 the only feasible q is constant = π. As Γ_sel → ∞, q_hi → 1 on t = k items and q_lo → 0 elsewhere is feasible in the limit, recovering the deterministic knapsack. (c) Enlarging Γ_sel enlarges the feasible set; continuity follows from continuity of the extreme-point solution in Γ_sel. ∎ [</w:t>
      </w:r>
      <w:r>
        <w:rPr>
          <w:rFonts w:ascii="Consolas" w:cs="Consolas" w:eastAsia="Consolas" w:hAnsi="Consolas"/>
          <w:sz w:val="20"/>
          <w:szCs w:val="20"/>
        </w:rPr>
        <w:t xml:space="preserve">test_random_endpoint</w:t>
      </w:r>
      <w:r>
        <w:rPr>
          <w:rFonts w:ascii="Times New Roman" w:cs="Times New Roman" w:eastAsia="Times New Roman" w:hAnsi="Times New Roman"/>
          <w:sz w:val="22"/>
          <w:szCs w:val="22"/>
        </w:rPr>
        <w:t xml:space="preserve">, </w:t>
      </w:r>
      <w:r>
        <w:rPr>
          <w:rFonts w:ascii="Consolas" w:cs="Consolas" w:eastAsia="Consolas" w:hAnsi="Consolas"/>
          <w:sz w:val="20"/>
          <w:szCs w:val="20"/>
        </w:rPr>
        <w:t xml:space="preserve">test_adversarial_endpoint</w:t>
      </w:r>
      <w:r>
        <w:rPr>
          <w:rFonts w:ascii="Times New Roman" w:cs="Times New Roman" w:eastAsia="Times New Roman" w:hAnsi="Times New Roman"/>
          <w:sz w:val="22"/>
          <w:szCs w:val="22"/>
        </w:rPr>
        <w:t xml:space="preserve">, </w:t>
      </w:r>
      <w:r>
        <w:rPr>
          <w:rFonts w:ascii="Consolas" w:cs="Consolas" w:eastAsia="Consolas" w:hAnsi="Consolas"/>
          <w:sz w:val="20"/>
          <w:szCs w:val="20"/>
        </w:rPr>
        <w:t xml:space="preserve">test_monotone_in_gamma_sel_and_bracketed</w:t>
      </w:r>
      <w:r>
        <w:rPr>
          <w:rFonts w:ascii="Times New Roman" w:cs="Times New Roman" w:eastAsia="Times New Roman" w:hAnsi="Times New Roman"/>
          <w:sz w:val="22"/>
          <w:szCs w:val="22"/>
        </w:rPr>
        <w:t xml:space="preserve">]</w:t>
      </w:r>
    </w:p>
    <w:p>
      <w:pPr>
        <w:pStyle w:val="Heading1"/>
      </w:pPr>
      <w:r>
        <w:rPr>
          <w:rFonts w:ascii="Times New Roman" w:cs="Times New Roman" w:eastAsia="Times New Roman" w:hAnsi="Times New Roman"/>
          <w:sz w:val="22"/>
          <w:szCs w:val="22"/>
        </w:rPr>
        <w:t xml:space="preserve">A.5 Theorem 4 (consistency and rate of Γ̂*)</w:t>
      </w:r>
    </w:p>
    <w:p>
      <w:pPr>
        <w:spacing w:after="120" w:line="300"/>
        <w:jc w:val="both"/>
      </w:pPr>
      <w:r>
        <w:rPr>
          <w:rFonts w:ascii="Times New Roman" w:cs="Times New Roman" w:eastAsia="Times New Roman" w:hAnsi="Times New Roman"/>
          <w:b/>
          <w:bCs/>
          <w:sz w:val="22"/>
          <w:szCs w:val="22"/>
        </w:rPr>
        <w:t xml:space="preserve">Statement.</w:t>
      </w:r>
      <w:r>
        <w:rPr>
          <w:rFonts w:ascii="Times New Roman" w:cs="Times New Roman" w:eastAsia="Times New Roman" w:hAnsi="Times New Roman"/>
          <w:sz w:val="22"/>
          <w:szCs w:val="22"/>
        </w:rPr>
        <w:t xml:space="preserve"> Let items be iid with per-item scores having distribution F (continuous case, regime R1), and let d(·;Λ) be as in Lemma A.0. Define B(Λ) = E[d 1{d ≥ q_{1−π}(d)}]/1 + boundary term (the trimmed upper mean at level π) and assume F_d is continuous with positive density at its (1−π)-quantile for the relevant Λ, that Δ = μ_A − μ_B &gt; 0, and that B(Γ*) = Δ with B strictly increasing at Γ* ∈ (0,1). Then (i) Γ̂* → Γ* a.s.; (ii) √n(Γ̂* − Γ*) ⇒ N(0, σ²) with σ² = Var-functional of (Δ̂, B̂) via the delta method with slope 1/B′(Γ*); (iii) the paired nonparametric item bootstrap consistently estimates the law in (ii).</w:t>
      </w:r>
    </w:p>
    <w:p>
      <w:pPr>
        <w:spacing w:after="120" w:line="300"/>
        <w:jc w:val="both"/>
      </w:pPr>
      <w:r>
        <w:rPr>
          <w:rFonts w:ascii="Times New Roman" w:cs="Times New Roman" w:eastAsia="Times New Roman" w:hAnsi="Times New Roman"/>
          <w:i/>
          <w:iCs/>
          <w:sz w:val="22"/>
          <w:szCs w:val="22"/>
        </w:rPr>
        <w:t xml:space="preserve">Proof sketch.</w:t>
      </w:r>
      <w:r>
        <w:rPr>
          <w:rFonts w:ascii="Times New Roman" w:cs="Times New Roman" w:eastAsia="Times New Roman" w:hAnsi="Times New Roman"/>
          <w:sz w:val="22"/>
          <w:szCs w:val="22"/>
        </w:rPr>
        <w:t xml:space="preserve"> B̂(Λ) is a trimmed L-statistic with bounded, monotone weight generator; under the quantile-density condition it is strongly consistent and Hadamard differentiable at F tangentially to the uniform ball (van der Vaart &amp; Wellner, Lemma 22.10-type arguments), giving a √n-CLT jointly with Δ̂ (a sample mean on the same items — the pairing supplies the joint law). Pointwise a.s. convergence of the nondecreasing functions B̂(·) to the continuous limit B(·) upgrades to uniform convergence on [0,1] by Pólya's argument. The map (B, Δ) ↦ B⁻¹(Δ) is differentiable at (B, Δ) with B′(Γ*) &gt; 0; the functional delta method yields (ii), and Hadamard differentiability + Efron bootstrap consistency for L-statistics yields (iii). ∎ </w:t>
      </w:r>
      <w:r>
        <w:rPr>
          <w:rFonts w:ascii="Times New Roman" w:cs="Times New Roman" w:eastAsia="Times New Roman" w:hAnsi="Times New Roman"/>
          <w:i/>
          <w:iCs/>
          <w:sz w:val="22"/>
          <w:szCs w:val="22"/>
        </w:rPr>
        <w:t xml:space="preserve">Empirical verification:</w:t>
      </w:r>
      <w:r>
        <w:rPr>
          <w:rFonts w:ascii="Times New Roman" w:cs="Times New Roman" w:eastAsia="Times New Roman" w:hAnsi="Times New Roman"/>
          <w:sz w:val="22"/>
          <w:szCs w:val="22"/>
        </w:rPr>
        <w:t xml:space="preserve"> RMSE slope −0.518 vs theoretical −0.5 over n ∈ [100, 25600], bias ≤ 0.0025 (</w:t>
      </w:r>
      <w:r>
        <w:rPr>
          <w:rFonts w:ascii="Consolas" w:cs="Consolas" w:eastAsia="Consolas" w:hAnsi="Consolas"/>
          <w:sz w:val="20"/>
          <w:szCs w:val="20"/>
        </w:rPr>
        <w:t xml:space="preserve">p1_t2_consistency.csv</w:t>
      </w:r>
      <w:r>
        <w:rPr>
          <w:rFonts w:ascii="Times New Roman" w:cs="Times New Roman" w:eastAsia="Times New Roman" w:hAnsi="Times New Roman"/>
          <w:sz w:val="22"/>
          <w:szCs w:val="22"/>
        </w:rPr>
        <w:t xml:space="preserve">, fig. f10).</w:t>
      </w:r>
    </w:p>
    <w:p>
      <w:pPr>
        <w:pStyle w:val="Heading1"/>
      </w:pPr>
      <w:r>
        <w:rPr>
          <w:rFonts w:ascii="Times New Roman" w:cs="Times New Roman" w:eastAsia="Times New Roman" w:hAnsi="Times New Roman"/>
          <w:sz w:val="22"/>
          <w:szCs w:val="22"/>
        </w:rPr>
        <w:t xml:space="preserve">A.6 Lemma A.2 (finite-draw bias directions, E9)</w:t>
      </w:r>
    </w:p>
    <w:p>
      <w:pPr>
        <w:spacing w:after="120" w:line="300"/>
        <w:jc w:val="both"/>
      </w:pPr>
      <w:r>
        <w:rPr>
          <w:rFonts w:ascii="Times New Roman" w:cs="Times New Roman" w:eastAsia="Times New Roman" w:hAnsi="Times New Roman"/>
          <w:sz w:val="22"/>
          <w:szCs w:val="22"/>
        </w:rPr>
        <w:t xml:space="preserve">With m Bernoulli draws per item, p̂ᵢ ~ m⁻¹Bin(m, pᵢ): (i) by Lemma A.0's concavity and Jensen, E[d(p̂ᵢ)] ≤ d(pᵢ) pointwise (smoothing bias down); (ii) the top-k selection over noisy capacities satisfies E[max-k mean of d(p̂)] ≥ max-k mean of E[d(p̂)] (selection bias up). The net sign is regime-dependent; measured: −40% (m = 2) to +4% (m = 10) to &lt;1% (m = 50), motivating the m ≥ 10 prescription and the simple-bound fallback, which depends on p̂ only through the unbiased grand mean. [</w:t>
      </w:r>
      <w:r>
        <w:rPr>
          <w:rFonts w:ascii="Consolas" w:cs="Consolas" w:eastAsia="Consolas" w:hAnsi="Consolas"/>
          <w:sz w:val="20"/>
          <w:szCs w:val="20"/>
        </w:rPr>
        <w:t xml:space="preserve">p1_t3_finite_draws.csv</w:t>
      </w:r>
      <w:r>
        <w:rPr>
          <w:rFonts w:ascii="Times New Roman" w:cs="Times New Roman" w:eastAsia="Times New Roman" w:hAnsi="Times New Roman"/>
          <w:sz w:val="22"/>
          <w:szCs w:val="22"/>
        </w:rPr>
        <w:t xml:space="preserve">; fig. f11]</w:t>
      </w:r>
    </w:p>
    <w:p>
      <w:pPr>
        <w:pStyle w:val="Heading1"/>
      </w:pPr>
      <w:r>
        <w:rPr>
          <w:rFonts w:ascii="Times New Roman" w:cs="Times New Roman" w:eastAsia="Times New Roman" w:hAnsi="Times New Roman"/>
          <w:sz w:val="22"/>
          <w:szCs w:val="22"/>
        </w:rPr>
        <w:t xml:space="preserve">A.7 Lemma A.3 (Imbens–Manski critical value)</w:t>
      </w:r>
    </w:p>
    <w:p>
      <w:pPr>
        <w:spacing w:after="120" w:line="300"/>
        <w:jc w:val="both"/>
      </w:pPr>
      <w:r>
        <w:rPr>
          <w:rFonts w:ascii="Times New Roman" w:cs="Times New Roman" w:eastAsia="Times New Roman" w:hAnsi="Times New Roman"/>
          <w:sz w:val="22"/>
          <w:szCs w:val="22"/>
        </w:rPr>
        <w:t xml:space="preserve">The equation Φ(c + w) − Φ(−c) = 1 − α has a unique root c(w) ∈ [z_{1−α}, z_{1−α/2}] for every w ≥ 0; c is continuous and nonincreasing in w with c(0) = z_{1−α/2} and c(∞) = z_{1−α}. </w:t>
      </w:r>
      <w:r>
        <w:rPr>
          <w:rFonts w:ascii="Times New Roman" w:cs="Times New Roman" w:eastAsia="Times New Roman" w:hAnsi="Times New Roman"/>
          <w:i/>
          <w:iCs/>
          <w:sz w:val="22"/>
          <w:szCs w:val="22"/>
        </w:rPr>
        <w:t xml:space="preserve">Proof.</w:t>
      </w:r>
      <w:r>
        <w:rPr>
          <w:rFonts w:ascii="Times New Roman" w:cs="Times New Roman" w:eastAsia="Times New Roman" w:hAnsi="Times New Roman"/>
          <w:sz w:val="22"/>
          <w:szCs w:val="22"/>
        </w:rPr>
        <w:t xml:space="preserve"> The left side is strictly increasing in c and increasing in w; evaluate at the bracket endpoints. ∎ Hence the parameter-level interval [θ̂_lo − c·σ̂_lo, θ̂_hi + c·σ̂_hi] has asymptotic coverage ≥ 1 − α for every θ in the identified set, with equality at the endpoints (Imbens &amp; Manski, 2004, Thm 1 conditions: endpoint estimators jointly asymptotically normal — supplied here by Theorem 4's machinery — and identified-set width consistently estimated). [</w:t>
      </w:r>
      <w:r>
        <w:rPr>
          <w:rFonts w:ascii="Consolas" w:cs="Consolas" w:eastAsia="Consolas" w:hAnsi="Consolas"/>
          <w:sz w:val="20"/>
          <w:szCs w:val="20"/>
        </w:rPr>
        <w:t xml:space="preserve">test_im_critical_value_limits</w:t>
      </w:r>
      <w:r>
        <w:rPr>
          <w:rFonts w:ascii="Times New Roman" w:cs="Times New Roman" w:eastAsia="Times New Roman" w:hAnsi="Times New Roman"/>
          <w:sz w:val="22"/>
          <w:szCs w:val="22"/>
        </w:rPr>
        <w:t xml:space="preserve">, </w:t>
      </w:r>
      <w:r>
        <w:rPr>
          <w:rFonts w:ascii="Consolas" w:cs="Consolas" w:eastAsia="Consolas" w:hAnsi="Consolas"/>
          <w:sz w:val="20"/>
          <w:szCs w:val="20"/>
        </w:rPr>
        <w:t xml:space="preserve">test_im_worst_case_parameter_coverage</w:t>
      </w:r>
      <w:r>
        <w:rPr>
          <w:rFonts w:ascii="Times New Roman" w:cs="Times New Roman" w:eastAsia="Times New Roman" w:hAnsi="Times New Roman"/>
          <w:sz w:val="22"/>
          <w:szCs w:val="22"/>
        </w:rPr>
        <w:t xml:space="preserve">]</w:t>
      </w:r>
    </w:p>
    <w:p>
      <w:pPr>
        <w:pStyle w:val="Heading1"/>
      </w:pPr>
      <w:r>
        <w:rPr>
          <w:rFonts w:ascii="Times New Roman" w:cs="Times New Roman" w:eastAsia="Times New Roman" w:hAnsi="Times New Roman"/>
          <w:sz w:val="22"/>
          <w:szCs w:val="22"/>
        </w:rPr>
        <w:t xml:space="preserve">A.8 Spillover-robust interval (U4)</w:t>
      </w:r>
    </w:p>
    <w:p>
      <w:pPr>
        <w:spacing w:after="120" w:line="300"/>
        <w:jc w:val="both"/>
      </w:pPr>
      <w:r>
        <w:rPr>
          <w:rFonts w:ascii="Times New Roman" w:cs="Times New Roman" w:eastAsia="Times New Roman" w:hAnsi="Times New Roman"/>
          <w:sz w:val="22"/>
          <w:szCs w:val="22"/>
        </w:rPr>
        <w:t xml:space="preserve">If additionally |n⁻¹Σ_{i:cᵢ=0}(yᵢ − y*ᵢ)| ≤ ε (bounded net drift on clean items), every bound above extends by widening both endpoints by ε; the proof of Prop. 1 goes through with the decomposition θ = μ̂ − (contaminated deflation) − (clean-item drift). ε is estimable from twin experiments (measured 0.003–0.30, growing with dose). [</w:t>
      </w:r>
      <w:r>
        <w:rPr>
          <w:rFonts w:ascii="Consolas" w:cs="Consolas" w:eastAsia="Consolas" w:hAnsi="Consolas"/>
          <w:sz w:val="20"/>
          <w:szCs w:val="20"/>
        </w:rPr>
        <w:t xml:space="preserve">test_twosided_upper_moves_only_with_lam_minus</w:t>
      </w:r>
      <w:r>
        <w:rPr>
          <w:rFonts w:ascii="Times New Roman" w:cs="Times New Roman" w:eastAsia="Times New Roman" w:hAnsi="Times New Roman"/>
          <w:sz w:val="22"/>
          <w:szCs w:val="22"/>
        </w:rPr>
        <w:t xml:space="preserve">; </w:t>
      </w:r>
      <w:r>
        <w:rPr>
          <w:rFonts w:ascii="Consolas" w:cs="Consolas" w:eastAsia="Consolas" w:hAnsi="Consolas"/>
          <w:sz w:val="20"/>
          <w:szCs w:val="20"/>
        </w:rPr>
        <w:t xml:space="preserve">p2b_spillover_fix.csv</w:t>
      </w:r>
      <w:r>
        <w:rPr>
          <w:rFonts w:ascii="Times New Roman" w:cs="Times New Roman" w:eastAsia="Times New Roman" w:hAnsi="Times New Roman"/>
          <w:sz w:val="22"/>
          <w:szCs w:val="22"/>
        </w:rPr>
        <w:t xml:space="preserve">]</w:t>
      </w:r>
    </w:p>
    <w:p>
      <w:pPr>
        <w:pStyle w:val="Heading1"/>
      </w:pPr>
      <w:r>
        <w:rPr>
          <w:rFonts w:ascii="Times New Roman" w:cs="Times New Roman" w:eastAsia="Times New Roman" w:hAnsi="Times New Roman"/>
          <w:sz w:val="22"/>
          <w:szCs w:val="22"/>
        </w:rPr>
        <w:t xml:space="preserve">A.9 Theorem 5 (minimax optimality of the simple bound in the binary regime)</w:t>
      </w:r>
    </w:p>
    <w:p>
      <w:pPr>
        <w:spacing w:after="120" w:line="300"/>
        <w:jc w:val="both"/>
      </w:pPr>
      <w:r>
        <w:rPr>
          <w:rFonts w:ascii="Times New Roman" w:cs="Times New Roman" w:eastAsia="Times New Roman" w:hAnsi="Times New Roman"/>
          <w:b/>
          <w:bCs/>
          <w:sz w:val="22"/>
          <w:szCs w:val="22"/>
        </w:rPr>
        <w:t xml:space="preserve">Setting.</w:t>
      </w:r>
      <w:r>
        <w:rPr>
          <w:rFonts w:ascii="Times New Roman" w:cs="Times New Roman" w:eastAsia="Times New Roman" w:hAnsi="Times New Roman"/>
          <w:sz w:val="22"/>
          <w:szCs w:val="22"/>
        </w:rPr>
        <w:t xml:space="preserve"> Single-draw binary regime R2 under the iid item sampling of Theorem 4: items are drawn from a population P over (p*, c, δ); the analyst observes one draw y ~ Bernoulli(p) per item, p = p* + cδ, with E[c] ≤ π and, in CSM±, −Λ⁻p* ≤ δ ≤ Λ⁺(1 − p*). The estimand is θ(P) = E[p*]; write μ(P) = E[p] and Λ = Λ⁺.</w:t>
      </w:r>
    </w:p>
    <w:p>
      <w:pPr>
        <w:spacing w:after="120" w:line="300"/>
        <w:jc w:val="both"/>
      </w:pPr>
      <w:r>
        <w:rPr>
          <w:rFonts w:ascii="Times New Roman" w:cs="Times New Roman" w:eastAsia="Times New Roman" w:hAnsi="Times New Roman"/>
          <w:b/>
          <w:bCs/>
          <w:sz w:val="22"/>
          <w:szCs w:val="22"/>
        </w:rPr>
        <w:t xml:space="preserve">Theorem 5 (statement).</w:t>
      </w:r>
      <w:r>
        <w:rPr>
          <w:rFonts w:ascii="Times New Roman" w:cs="Times New Roman" w:eastAsia="Times New Roman" w:hAnsi="Times New Roman"/>
          <w:sz w:val="22"/>
          <w:szCs w:val="22"/>
        </w:rPr>
        <w:t xml:space="preserve"> (i) With one draw per item the observable law is iid Bernoulli(μ(P)): populations with equal μ are exactly indistinguishable at every sample size. (ii) For interior μ (πΛ ≤ μ ≤ 1 − π(1−Λ)), the identified set for θ given μ is exactly [μ − πΛ, μ] at ρ = 0, and the width πΛ is attained by a feasible population. (iii) Any interval procedure uniformly valid over the model class has width at least πΛ; any claim-robustness procedure can certify at most Γ* = Δ/(π(1+ρ)). The reduction of §9.2 is therefore not a limitation of our estimator: it is the full information content of single-draw binary data.</w:t>
      </w:r>
    </w:p>
    <w:p>
      <w:pPr>
        <w:spacing w:after="120" w:line="300"/>
        <w:jc w:val="both"/>
      </w:pPr>
      <w:r>
        <w:rPr>
          <w:rFonts w:ascii="Times New Roman" w:cs="Times New Roman" w:eastAsia="Times New Roman" w:hAnsi="Times New Roman"/>
          <w:b/>
          <w:bCs/>
          <w:sz w:val="22"/>
          <w:szCs w:val="22"/>
        </w:rPr>
        <w:t xml:space="preserve">Proof.</w:t>
      </w:r>
      <w:r>
        <w:rPr>
          <w:rFonts w:ascii="Times New Roman" w:cs="Times New Roman" w:eastAsia="Times New Roman" w:hAnsi="Times New Roman"/>
          <w:sz w:val="22"/>
          <w:szCs w:val="22"/>
        </w:rPr>
        <w:t xml:space="preserve"> (i) Conditional on an item, y is Bernoulli(p); marginalising over P, a single draw is Bernoulli(E[p]) and items are iid, so the sample is iid Bernoulli(μ). Higher moments of p are not identified with one draw per item. (ii) Upper endpoint: at ρ = 0, δ ≥ 0, so θ ≤ μ, attained by the uncontaminated population p* ≡ μ. Lower endpoint: feasibility requires δ ≤ min(p, Λ(1 − p*)) and the two constraints cross at p = Λ, where p* = 0 and δ = Λ are simultaneously feasible; so per-item bias is at most Λ and E[cδ] ≤ πΛ. Attainment: let P₂ place mass π on contaminated items with p* = 0, δ = Λ (hence p = Λ) and mass 1 − π on clean items with p* = (μ − πΛ)/(1 − π), which lies in [0, 1] exactly on the stated interior range. Then μ(P₂) = μ and θ(P₂) = μ − πΛ. The population P₁ with p* ≡ μ, c ≡ 0 has μ(P₁) = μ and θ(P₁) = μ. By (i) the two are indistinguishable, so both endpoints belong to the identified set, and by the bias bound nothing below μ − πΛ does. (iii) A uniformly valid interval must contain θ(P₁) = μ and θ(P₂) = μ − πΛ on data laws it cannot tell apart, hence has width ≥ πΛ. For a claim A ≻ B with margin Δ, applying the P₂ construction to model A (deflation at Λ⁺) and its mirror to model B (inflation at Λ⁻ = ρΛ⁺) reverses the population margin whenever πΛ(1 + ρ) &gt; Δ while leaving both observable laws unchanged; hence no procedure can certify robustness at any Λ &gt; Δ/(π(1+ρ)). ∎</w:t>
      </w:r>
    </w:p>
    <w:p>
      <w:pPr>
        <w:spacing w:after="120" w:line="300"/>
        <w:jc w:val="both"/>
      </w:pPr>
      <w:r>
        <w:rPr>
          <w:rFonts w:ascii="Times New Roman" w:cs="Times New Roman" w:eastAsia="Times New Roman" w:hAnsi="Times New Roman"/>
          <w:sz w:val="22"/>
          <w:szCs w:val="22"/>
        </w:rPr>
        <w:t xml:space="preserve">The library's </w:t>
      </w:r>
      <w:r>
        <w:rPr>
          <w:rFonts w:ascii="Consolas" w:cs="Consolas" w:eastAsia="Consolas" w:hAnsi="Consolas"/>
          <w:sz w:val="20"/>
          <w:szCs w:val="20"/>
        </w:rPr>
        <w:t xml:space="preserve">max_bias_simple</w:t>
      </w:r>
      <w:r>
        <w:rPr>
          <w:rFonts w:ascii="Times New Roman" w:cs="Times New Roman" w:eastAsia="Times New Roman" w:hAnsi="Times New Roman"/>
          <w:sz w:val="22"/>
          <w:szCs w:val="22"/>
        </w:rPr>
        <w:t xml:space="preserve"> reports exactly this width, and </w:t>
      </w:r>
      <w:r>
        <w:rPr>
          <w:rFonts w:ascii="Consolas" w:cs="Consolas" w:eastAsia="Consolas" w:hAnsi="Consolas"/>
          <w:sz w:val="20"/>
          <w:szCs w:val="20"/>
        </w:rPr>
        <w:t xml:space="preserve">gamma_star(..., simple=True)</w:t>
      </w:r>
      <w:r>
        <w:rPr>
          <w:rFonts w:ascii="Times New Roman" w:cs="Times New Roman" w:eastAsia="Times New Roman" w:hAnsi="Times New Roman"/>
          <w:sz w:val="22"/>
          <w:szCs w:val="22"/>
        </w:rPr>
        <w:t xml:space="preserve"> the certificate ceiling. [</w:t>
      </w:r>
      <w:r>
        <w:rPr>
          <w:rFonts w:ascii="Consolas" w:cs="Consolas" w:eastAsia="Consolas" w:hAnsi="Consolas"/>
          <w:sz w:val="20"/>
          <w:szCs w:val="20"/>
        </w:rPr>
        <w:t xml:space="preserve">test_minimax_indistinguishable_pair</w:t>
      </w:r>
      <w:r>
        <w:rPr>
          <w:rFonts w:ascii="Times New Roman" w:cs="Times New Roman" w:eastAsia="Times New Roman" w:hAnsi="Times New Roman"/>
          <w:sz w:val="22"/>
          <w:szCs w:val="22"/>
        </w:rPr>
        <w:t xml:space="preserve">, </w:t>
      </w:r>
      <w:r>
        <w:rPr>
          <w:rFonts w:ascii="Consolas" w:cs="Consolas" w:eastAsia="Consolas" w:hAnsi="Consolas"/>
          <w:sz w:val="20"/>
          <w:szCs w:val="20"/>
        </w:rPr>
        <w:t xml:space="preserve">test_minimax_no_narrower_certificate</w:t>
      </w:r>
      <w:r>
        <w:rPr>
          <w:rFonts w:ascii="Times New Roman" w:cs="Times New Roman" w:eastAsia="Times New Roman" w:hAnsi="Times New Roman"/>
          <w:sz w:val="22"/>
          <w:szCs w:val="22"/>
        </w:rPr>
        <w:t xml:space="preserve">]</w:t>
      </w:r>
    </w:p>
    <w:p>
      <w:pPr>
        <w:pStyle w:val="Heading1"/>
      </w:pPr>
      <w:r>
        <w:rPr>
          <w:rFonts w:ascii="Times New Roman" w:cs="Times New Roman" w:eastAsia="Times New Roman" w:hAnsi="Times New Roman"/>
          <w:sz w:val="22"/>
          <w:szCs w:val="22"/>
        </w:rPr>
        <w:t xml:space="preserve">References</w:t>
      </w:r>
    </w:p>
    <w:p>
      <w:pPr>
        <w:spacing w:after="120" w:line="300"/>
        <w:jc w:val="both"/>
      </w:pPr>
      <w:r>
        <w:rPr>
          <w:rFonts w:ascii="Times New Roman" w:cs="Times New Roman" w:eastAsia="Times New Roman" w:hAnsi="Times New Roman"/>
          <w:i/>
          <w:iCs/>
          <w:sz w:val="22"/>
          <w:szCs w:val="22"/>
        </w:rPr>
        <w:t xml:space="preserve">Generated by `scripts/make_bibliography.py`; every arXiv entry was fetched live from the arXiv API. BibTeX: `paper/references.bib`.</w:t>
      </w:r>
    </w:p>
    <w:p>
      <w:pPr>
        <w:pStyle w:val="ListParagraph"/>
        <w:numPr>
          <w:ilvl w:val="0"/>
          <w:numId w:val="3"/>
        </w:numPr>
        <w:spacing w:after="60"/>
        <w:jc w:val="both"/>
      </w:pPr>
      <w:r>
        <w:rPr>
          <w:rFonts w:ascii="Times New Roman" w:cs="Times New Roman" w:eastAsia="Times New Roman" w:hAnsi="Times New Roman"/>
          <w:sz w:val="22"/>
          <w:szCs w:val="22"/>
        </w:rPr>
        <w:t xml:space="preserve">Tom B. Brown et al. (2020). </w:t>
      </w:r>
      <w:r>
        <w:rPr>
          <w:rFonts w:ascii="Times New Roman" w:cs="Times New Roman" w:eastAsia="Times New Roman" w:hAnsi="Times New Roman"/>
          <w:i/>
          <w:iCs/>
          <w:sz w:val="22"/>
          <w:szCs w:val="22"/>
        </w:rPr>
        <w:t xml:space="preserve">Language Models are Few-Shot Learners.</w:t>
      </w:r>
      <w:r>
        <w:rPr>
          <w:rFonts w:ascii="Times New Roman" w:cs="Times New Roman" w:eastAsia="Times New Roman" w:hAnsi="Times New Roman"/>
          <w:sz w:val="22"/>
          <w:szCs w:val="22"/>
        </w:rPr>
        <w:t xml:space="preserve"> arXiv:2005.14165. </w:t>
      </w:r>
      <w:r>
        <w:rPr>
          <w:rFonts w:ascii="Consolas" w:cs="Consolas" w:eastAsia="Consolas" w:hAnsi="Consolas"/>
          <w:sz w:val="20"/>
          <w:szCs w:val="20"/>
        </w:rPr>
        <w:t xml:space="preserve">[brown2020gpt3]</w:t>
      </w:r>
    </w:p>
    <w:p>
      <w:pPr>
        <w:pStyle w:val="ListParagraph"/>
        <w:numPr>
          <w:ilvl w:val="0"/>
          <w:numId w:val="3"/>
        </w:numPr>
        <w:spacing w:after="60"/>
        <w:jc w:val="both"/>
      </w:pPr>
      <w:r>
        <w:rPr>
          <w:rFonts w:ascii="Times New Roman" w:cs="Times New Roman" w:eastAsia="Times New Roman" w:hAnsi="Times New Roman"/>
          <w:sz w:val="22"/>
          <w:szCs w:val="22"/>
        </w:rPr>
        <w:t xml:space="preserve">Victor Chernozhukov et al. (2021). </w:t>
      </w:r>
      <w:r>
        <w:rPr>
          <w:rFonts w:ascii="Times New Roman" w:cs="Times New Roman" w:eastAsia="Times New Roman" w:hAnsi="Times New Roman"/>
          <w:i/>
          <w:iCs/>
          <w:sz w:val="22"/>
          <w:szCs w:val="22"/>
        </w:rPr>
        <w:t xml:space="preserve">Long Story Short: Omitted Variable Bias in Causal Machine Learning.</w:t>
      </w:r>
      <w:r>
        <w:rPr>
          <w:rFonts w:ascii="Times New Roman" w:cs="Times New Roman" w:eastAsia="Times New Roman" w:hAnsi="Times New Roman"/>
          <w:sz w:val="22"/>
          <w:szCs w:val="22"/>
        </w:rPr>
        <w:t xml:space="preserve"> arXiv:2112.13398. </w:t>
      </w:r>
      <w:r>
        <w:rPr>
          <w:rFonts w:ascii="Consolas" w:cs="Consolas" w:eastAsia="Consolas" w:hAnsi="Consolas"/>
          <w:sz w:val="20"/>
          <w:szCs w:val="20"/>
        </w:rPr>
        <w:t xml:space="preserve">[chernozhukov2021ovb]</w:t>
      </w:r>
    </w:p>
    <w:p>
      <w:pPr>
        <w:pStyle w:val="ListParagraph"/>
        <w:numPr>
          <w:ilvl w:val="0"/>
          <w:numId w:val="3"/>
        </w:numPr>
        <w:spacing w:after="60"/>
        <w:jc w:val="both"/>
      </w:pPr>
      <w:r>
        <w:rPr>
          <w:rFonts w:ascii="Times New Roman" w:cs="Times New Roman" w:eastAsia="Times New Roman" w:hAnsi="Times New Roman"/>
          <w:sz w:val="22"/>
          <w:szCs w:val="22"/>
        </w:rPr>
        <w:t xml:space="preserve">Inbal Magar and Roy Schwartz (2022). </w:t>
      </w:r>
      <w:r>
        <w:rPr>
          <w:rFonts w:ascii="Times New Roman" w:cs="Times New Roman" w:eastAsia="Times New Roman" w:hAnsi="Times New Roman"/>
          <w:i/>
          <w:iCs/>
          <w:sz w:val="22"/>
          <w:szCs w:val="22"/>
        </w:rPr>
        <w:t xml:space="preserve">Data Contamination: From Memorization to Exploitation.</w:t>
      </w:r>
      <w:r>
        <w:rPr>
          <w:rFonts w:ascii="Times New Roman" w:cs="Times New Roman" w:eastAsia="Times New Roman" w:hAnsi="Times New Roman"/>
          <w:sz w:val="22"/>
          <w:szCs w:val="22"/>
        </w:rPr>
        <w:t xml:space="preserve"> arXiv:2203.08242. </w:t>
      </w:r>
      <w:r>
        <w:rPr>
          <w:rFonts w:ascii="Consolas" w:cs="Consolas" w:eastAsia="Consolas" w:hAnsi="Consolas"/>
          <w:sz w:val="20"/>
          <w:szCs w:val="20"/>
        </w:rPr>
        <w:t xml:space="preserve">[magar2022contamination]</w:t>
      </w:r>
    </w:p>
    <w:p>
      <w:pPr>
        <w:pStyle w:val="ListParagraph"/>
        <w:numPr>
          <w:ilvl w:val="0"/>
          <w:numId w:val="3"/>
        </w:numPr>
        <w:spacing w:after="60"/>
        <w:jc w:val="both"/>
      </w:pPr>
      <w:r>
        <w:rPr>
          <w:rFonts w:ascii="Times New Roman" w:cs="Times New Roman" w:eastAsia="Times New Roman" w:hAnsi="Times New Roman"/>
          <w:sz w:val="22"/>
          <w:szCs w:val="22"/>
        </w:rPr>
        <w:t xml:space="preserve">Hugo Touvron et al. (2023). </w:t>
      </w:r>
      <w:r>
        <w:rPr>
          <w:rFonts w:ascii="Times New Roman" w:cs="Times New Roman" w:eastAsia="Times New Roman" w:hAnsi="Times New Roman"/>
          <w:i/>
          <w:iCs/>
          <w:sz w:val="22"/>
          <w:szCs w:val="22"/>
        </w:rPr>
        <w:t xml:space="preserve">LLaMA: Open and Efficient Foundation Language Models.</w:t>
      </w:r>
      <w:r>
        <w:rPr>
          <w:rFonts w:ascii="Times New Roman" w:cs="Times New Roman" w:eastAsia="Times New Roman" w:hAnsi="Times New Roman"/>
          <w:sz w:val="22"/>
          <w:szCs w:val="22"/>
        </w:rPr>
        <w:t xml:space="preserve"> arXiv:2302.13971. </w:t>
      </w:r>
      <w:r>
        <w:rPr>
          <w:rFonts w:ascii="Consolas" w:cs="Consolas" w:eastAsia="Consolas" w:hAnsi="Consolas"/>
          <w:sz w:val="20"/>
          <w:szCs w:val="20"/>
        </w:rPr>
        <w:t xml:space="preserve">[touvron2023llama]</w:t>
      </w:r>
    </w:p>
    <w:p>
      <w:pPr>
        <w:pStyle w:val="ListParagraph"/>
        <w:numPr>
          <w:ilvl w:val="0"/>
          <w:numId w:val="3"/>
        </w:numPr>
        <w:spacing w:after="60"/>
        <w:jc w:val="both"/>
      </w:pPr>
      <w:r>
        <w:rPr>
          <w:rFonts w:ascii="Times New Roman" w:cs="Times New Roman" w:eastAsia="Times New Roman" w:hAnsi="Times New Roman"/>
          <w:sz w:val="22"/>
          <w:szCs w:val="22"/>
        </w:rPr>
        <w:t xml:space="preserve">Yucheng Li et al. (2023). </w:t>
      </w:r>
      <w:r>
        <w:rPr>
          <w:rFonts w:ascii="Times New Roman" w:cs="Times New Roman" w:eastAsia="Times New Roman" w:hAnsi="Times New Roman"/>
          <w:i/>
          <w:iCs/>
          <w:sz w:val="22"/>
          <w:szCs w:val="22"/>
        </w:rPr>
        <w:t xml:space="preserve">An Open Source Data Contamination Report for Large Language Models.</w:t>
      </w:r>
      <w:r>
        <w:rPr>
          <w:rFonts w:ascii="Times New Roman" w:cs="Times New Roman" w:eastAsia="Times New Roman" w:hAnsi="Times New Roman"/>
          <w:sz w:val="22"/>
          <w:szCs w:val="22"/>
        </w:rPr>
        <w:t xml:space="preserve"> arXiv:2310.17589. </w:t>
      </w:r>
      <w:r>
        <w:rPr>
          <w:rFonts w:ascii="Consolas" w:cs="Consolas" w:eastAsia="Consolas" w:hAnsi="Consolas"/>
          <w:sz w:val="20"/>
          <w:szCs w:val="20"/>
        </w:rPr>
        <w:t xml:space="preserve">[li2023contamreport]</w:t>
      </w:r>
    </w:p>
    <w:p>
      <w:pPr>
        <w:pStyle w:val="ListParagraph"/>
        <w:numPr>
          <w:ilvl w:val="0"/>
          <w:numId w:val="3"/>
        </w:numPr>
        <w:spacing w:after="60"/>
        <w:jc w:val="both"/>
      </w:pPr>
      <w:r>
        <w:rPr>
          <w:rFonts w:ascii="Times New Roman" w:cs="Times New Roman" w:eastAsia="Times New Roman" w:hAnsi="Times New Roman"/>
          <w:sz w:val="22"/>
          <w:szCs w:val="22"/>
        </w:rPr>
        <w:t xml:space="preserve">Aaron Grattafiori et al. (2024). </w:t>
      </w:r>
      <w:r>
        <w:rPr>
          <w:rFonts w:ascii="Times New Roman" w:cs="Times New Roman" w:eastAsia="Times New Roman" w:hAnsi="Times New Roman"/>
          <w:i/>
          <w:iCs/>
          <w:sz w:val="22"/>
          <w:szCs w:val="22"/>
        </w:rPr>
        <w:t xml:space="preserve">The Llama 3 Herd of Models.</w:t>
      </w:r>
      <w:r>
        <w:rPr>
          <w:rFonts w:ascii="Times New Roman" w:cs="Times New Roman" w:eastAsia="Times New Roman" w:hAnsi="Times New Roman"/>
          <w:sz w:val="22"/>
          <w:szCs w:val="22"/>
        </w:rPr>
        <w:t xml:space="preserve"> arXiv:2407.21783. </w:t>
      </w:r>
      <w:r>
        <w:rPr>
          <w:rFonts w:ascii="Consolas" w:cs="Consolas" w:eastAsia="Consolas" w:hAnsi="Consolas"/>
          <w:sz w:val="20"/>
          <w:szCs w:val="20"/>
        </w:rPr>
        <w:t xml:space="preserve">[grattafiori2024llama3]</w:t>
      </w:r>
    </w:p>
    <w:p>
      <w:pPr>
        <w:pStyle w:val="ListParagraph"/>
        <w:numPr>
          <w:ilvl w:val="0"/>
          <w:numId w:val="3"/>
        </w:numPr>
        <w:spacing w:after="60"/>
        <w:jc w:val="both"/>
      </w:pPr>
      <w:r>
        <w:rPr>
          <w:rFonts w:ascii="Times New Roman" w:cs="Times New Roman" w:eastAsia="Times New Roman" w:hAnsi="Times New Roman"/>
          <w:sz w:val="22"/>
          <w:szCs w:val="22"/>
        </w:rPr>
        <w:t xml:space="preserve">Cheng Xu et al. (2024). </w:t>
      </w:r>
      <w:r>
        <w:rPr>
          <w:rFonts w:ascii="Times New Roman" w:cs="Times New Roman" w:eastAsia="Times New Roman" w:hAnsi="Times New Roman"/>
          <w:i/>
          <w:iCs/>
          <w:sz w:val="22"/>
          <w:szCs w:val="22"/>
        </w:rPr>
        <w:t xml:space="preserve">Benchmark Data Contamination of Large Language Models: A Survey.</w:t>
      </w:r>
      <w:r>
        <w:rPr>
          <w:rFonts w:ascii="Times New Roman" w:cs="Times New Roman" w:eastAsia="Times New Roman" w:hAnsi="Times New Roman"/>
          <w:sz w:val="22"/>
          <w:szCs w:val="22"/>
        </w:rPr>
        <w:t xml:space="preserve"> arXiv:2406.04244. </w:t>
      </w:r>
      <w:r>
        <w:rPr>
          <w:rFonts w:ascii="Consolas" w:cs="Consolas" w:eastAsia="Consolas" w:hAnsi="Consolas"/>
          <w:sz w:val="20"/>
          <w:szCs w:val="20"/>
        </w:rPr>
        <w:t xml:space="preserve">[xu2024survey]</w:t>
      </w:r>
    </w:p>
    <w:p>
      <w:pPr>
        <w:pStyle w:val="ListParagraph"/>
        <w:numPr>
          <w:ilvl w:val="0"/>
          <w:numId w:val="3"/>
        </w:numPr>
        <w:spacing w:after="60"/>
        <w:jc w:val="both"/>
      </w:pPr>
      <w:r>
        <w:rPr>
          <w:rFonts w:ascii="Times New Roman" w:cs="Times New Roman" w:eastAsia="Times New Roman" w:hAnsi="Times New Roman"/>
          <w:sz w:val="22"/>
          <w:szCs w:val="22"/>
        </w:rPr>
        <w:t xml:space="preserve">Felipe Maia Polo et al. (2024). </w:t>
      </w:r>
      <w:r>
        <w:rPr>
          <w:rFonts w:ascii="Times New Roman" w:cs="Times New Roman" w:eastAsia="Times New Roman" w:hAnsi="Times New Roman"/>
          <w:i/>
          <w:iCs/>
          <w:sz w:val="22"/>
          <w:szCs w:val="22"/>
        </w:rPr>
        <w:t xml:space="preserve">tinyBenchmarks: evaluating LLMs with fewer examples.</w:t>
      </w:r>
      <w:r>
        <w:rPr>
          <w:rFonts w:ascii="Times New Roman" w:cs="Times New Roman" w:eastAsia="Times New Roman" w:hAnsi="Times New Roman"/>
          <w:sz w:val="22"/>
          <w:szCs w:val="22"/>
        </w:rPr>
        <w:t xml:space="preserve"> arXiv:2402.14992. </w:t>
      </w:r>
      <w:r>
        <w:rPr>
          <w:rFonts w:ascii="Consolas" w:cs="Consolas" w:eastAsia="Consolas" w:hAnsi="Consolas"/>
          <w:sz w:val="20"/>
          <w:szCs w:val="20"/>
        </w:rPr>
        <w:t xml:space="preserve">[polo2024tinybenchmarks]</w:t>
      </w:r>
    </w:p>
    <w:p>
      <w:pPr>
        <w:pStyle w:val="ListParagraph"/>
        <w:numPr>
          <w:ilvl w:val="0"/>
          <w:numId w:val="3"/>
        </w:numPr>
        <w:spacing w:after="60"/>
        <w:jc w:val="both"/>
      </w:pPr>
      <w:r>
        <w:rPr>
          <w:rFonts w:ascii="Times New Roman" w:cs="Times New Roman" w:eastAsia="Times New Roman" w:hAnsi="Times New Roman"/>
          <w:sz w:val="22"/>
          <w:szCs w:val="22"/>
        </w:rPr>
        <w:t xml:space="preserve">Jasper Dekoninck et al. (2024). </w:t>
      </w:r>
      <w:r>
        <w:rPr>
          <w:rFonts w:ascii="Times New Roman" w:cs="Times New Roman" w:eastAsia="Times New Roman" w:hAnsi="Times New Roman"/>
          <w:i/>
          <w:iCs/>
          <w:sz w:val="22"/>
          <w:szCs w:val="22"/>
        </w:rPr>
        <w:t xml:space="preserve">ConStat: Performance-Based Contamination Detection in Large Language Models.</w:t>
      </w:r>
      <w:r>
        <w:rPr>
          <w:rFonts w:ascii="Times New Roman" w:cs="Times New Roman" w:eastAsia="Times New Roman" w:hAnsi="Times New Roman"/>
          <w:sz w:val="22"/>
          <w:szCs w:val="22"/>
        </w:rPr>
        <w:t xml:space="preserve"> arXiv:2405.16281. </w:t>
      </w:r>
      <w:r>
        <w:rPr>
          <w:rFonts w:ascii="Consolas" w:cs="Consolas" w:eastAsia="Consolas" w:hAnsi="Consolas"/>
          <w:sz w:val="20"/>
          <w:szCs w:val="20"/>
        </w:rPr>
        <w:t xml:space="preserve">[dekoninck2024constat]</w:t>
      </w:r>
    </w:p>
    <w:p>
      <w:pPr>
        <w:pStyle w:val="ListParagraph"/>
        <w:numPr>
          <w:ilvl w:val="0"/>
          <w:numId w:val="3"/>
        </w:numPr>
        <w:spacing w:after="60"/>
        <w:jc w:val="both"/>
      </w:pPr>
      <w:r>
        <w:rPr>
          <w:rFonts w:ascii="Times New Roman" w:cs="Times New Roman" w:eastAsia="Times New Roman" w:hAnsi="Times New Roman"/>
          <w:sz w:val="22"/>
          <w:szCs w:val="22"/>
        </w:rPr>
        <w:t xml:space="preserve">Mathieu Ravaut et al. (2024). </w:t>
      </w:r>
      <w:r>
        <w:rPr>
          <w:rFonts w:ascii="Times New Roman" w:cs="Times New Roman" w:eastAsia="Times New Roman" w:hAnsi="Times New Roman"/>
          <w:i/>
          <w:iCs/>
          <w:sz w:val="22"/>
          <w:szCs w:val="22"/>
        </w:rPr>
        <w:t xml:space="preserve">A Comprehensive Survey of Contamination Detection Methods in Large Language Models.</w:t>
      </w:r>
      <w:r>
        <w:rPr>
          <w:rFonts w:ascii="Times New Roman" w:cs="Times New Roman" w:eastAsia="Times New Roman" w:hAnsi="Times New Roman"/>
          <w:sz w:val="22"/>
          <w:szCs w:val="22"/>
        </w:rPr>
        <w:t xml:space="preserve"> arXiv:2404.00699. </w:t>
      </w:r>
      <w:r>
        <w:rPr>
          <w:rFonts w:ascii="Consolas" w:cs="Consolas" w:eastAsia="Consolas" w:hAnsi="Consolas"/>
          <w:sz w:val="20"/>
          <w:szCs w:val="20"/>
        </w:rPr>
        <w:t xml:space="preserve">[ravaut2024survey]</w:t>
      </w:r>
    </w:p>
    <w:p>
      <w:pPr>
        <w:pStyle w:val="ListParagraph"/>
        <w:numPr>
          <w:ilvl w:val="0"/>
          <w:numId w:val="3"/>
        </w:numPr>
        <w:spacing w:after="60"/>
        <w:jc w:val="both"/>
      </w:pPr>
      <w:r>
        <w:rPr>
          <w:rFonts w:ascii="Times New Roman" w:cs="Times New Roman" w:eastAsia="Times New Roman" w:hAnsi="Times New Roman"/>
          <w:sz w:val="22"/>
          <w:szCs w:val="22"/>
        </w:rPr>
        <w:t xml:space="preserve">Norah Alzahrani et al. (2024). </w:t>
      </w:r>
      <w:r>
        <w:rPr>
          <w:rFonts w:ascii="Times New Roman" w:cs="Times New Roman" w:eastAsia="Times New Roman" w:hAnsi="Times New Roman"/>
          <w:i/>
          <w:iCs/>
          <w:sz w:val="22"/>
          <w:szCs w:val="22"/>
        </w:rPr>
        <w:t xml:space="preserve">When Benchmarks are Targets: Revealing the Sensitivity of Large Language Model Leaderboards.</w:t>
      </w:r>
      <w:r>
        <w:rPr>
          <w:rFonts w:ascii="Times New Roman" w:cs="Times New Roman" w:eastAsia="Times New Roman" w:hAnsi="Times New Roman"/>
          <w:sz w:val="22"/>
          <w:szCs w:val="22"/>
        </w:rPr>
        <w:t xml:space="preserve"> arXiv:2402.01781. </w:t>
      </w:r>
      <w:r>
        <w:rPr>
          <w:rFonts w:ascii="Consolas" w:cs="Consolas" w:eastAsia="Consolas" w:hAnsi="Consolas"/>
          <w:sz w:val="20"/>
          <w:szCs w:val="20"/>
        </w:rPr>
        <w:t xml:space="preserve">[alzahrani2024benchmarks]</w:t>
      </w:r>
    </w:p>
    <w:p>
      <w:pPr>
        <w:pStyle w:val="ListParagraph"/>
        <w:numPr>
          <w:ilvl w:val="0"/>
          <w:numId w:val="3"/>
        </w:numPr>
        <w:spacing w:after="60"/>
        <w:jc w:val="both"/>
      </w:pPr>
      <w:r>
        <w:rPr>
          <w:rFonts w:ascii="Times New Roman" w:cs="Times New Roman" w:eastAsia="Times New Roman" w:hAnsi="Times New Roman"/>
          <w:sz w:val="22"/>
          <w:szCs w:val="22"/>
        </w:rPr>
        <w:t xml:space="preserve">Siyu Heng et al. (2024). </w:t>
      </w:r>
      <w:r>
        <w:rPr>
          <w:rFonts w:ascii="Times New Roman" w:cs="Times New Roman" w:eastAsia="Times New Roman" w:hAnsi="Times New Roman"/>
          <w:i/>
          <w:iCs/>
          <w:sz w:val="22"/>
          <w:szCs w:val="22"/>
        </w:rPr>
        <w:t xml:space="preserve">Towards Robust Matched Observational Studies with General Treatment Types: Consistency, Efficiency, and Adaptivity.</w:t>
      </w:r>
      <w:r>
        <w:rPr>
          <w:rFonts w:ascii="Times New Roman" w:cs="Times New Roman" w:eastAsia="Times New Roman" w:hAnsi="Times New Roman"/>
          <w:sz w:val="22"/>
          <w:szCs w:val="22"/>
        </w:rPr>
        <w:t xml:space="preserve"> arXiv:2403.14152. </w:t>
      </w:r>
      <w:r>
        <w:rPr>
          <w:rFonts w:ascii="Consolas" w:cs="Consolas" w:eastAsia="Consolas" w:hAnsi="Consolas"/>
          <w:sz w:val="20"/>
          <w:szCs w:val="20"/>
        </w:rPr>
        <w:t xml:space="preserve">[heng2024robust]</w:t>
      </w:r>
    </w:p>
    <w:p>
      <w:pPr>
        <w:pStyle w:val="ListParagraph"/>
        <w:numPr>
          <w:ilvl w:val="0"/>
          <w:numId w:val="3"/>
        </w:numPr>
        <w:spacing w:after="60"/>
        <w:jc w:val="both"/>
      </w:pPr>
      <w:r>
        <w:rPr>
          <w:rFonts w:ascii="Times New Roman" w:cs="Times New Roman" w:eastAsia="Times New Roman" w:hAnsi="Times New Roman"/>
          <w:sz w:val="22"/>
          <w:szCs w:val="22"/>
        </w:rPr>
        <w:t xml:space="preserve">Yujuan Fu et al. (2024). </w:t>
      </w:r>
      <w:r>
        <w:rPr>
          <w:rFonts w:ascii="Times New Roman" w:cs="Times New Roman" w:eastAsia="Times New Roman" w:hAnsi="Times New Roman"/>
          <w:i/>
          <w:iCs/>
          <w:sz w:val="22"/>
          <w:szCs w:val="22"/>
        </w:rPr>
        <w:t xml:space="preserve">Does Data Contamination Detection Work (Well) for LLMs? A Survey and Evaluation on Detection Assumptions.</w:t>
      </w:r>
      <w:r>
        <w:rPr>
          <w:rFonts w:ascii="Times New Roman" w:cs="Times New Roman" w:eastAsia="Times New Roman" w:hAnsi="Times New Roman"/>
          <w:sz w:val="22"/>
          <w:szCs w:val="22"/>
        </w:rPr>
        <w:t xml:space="preserve"> arXiv:2410.18966. </w:t>
      </w:r>
      <w:r>
        <w:rPr>
          <w:rFonts w:ascii="Consolas" w:cs="Consolas" w:eastAsia="Consolas" w:hAnsi="Consolas"/>
          <w:sz w:val="20"/>
          <w:szCs w:val="20"/>
        </w:rPr>
        <w:t xml:space="preserve">[fu2024doescontam]</w:t>
      </w:r>
    </w:p>
    <w:p>
      <w:pPr>
        <w:pStyle w:val="ListParagraph"/>
        <w:numPr>
          <w:ilvl w:val="0"/>
          <w:numId w:val="3"/>
        </w:numPr>
        <w:spacing w:after="60"/>
        <w:jc w:val="both"/>
      </w:pPr>
      <w:r>
        <w:rPr>
          <w:rFonts w:ascii="Times New Roman" w:cs="Times New Roman" w:eastAsia="Times New Roman" w:hAnsi="Times New Roman"/>
          <w:sz w:val="22"/>
          <w:szCs w:val="22"/>
        </w:rPr>
        <w:t xml:space="preserve">Andrew M. Bean et al. (2025). </w:t>
      </w:r>
      <w:r>
        <w:rPr>
          <w:rFonts w:ascii="Times New Roman" w:cs="Times New Roman" w:eastAsia="Times New Roman" w:hAnsi="Times New Roman"/>
          <w:i/>
          <w:iCs/>
          <w:sz w:val="22"/>
          <w:szCs w:val="22"/>
        </w:rPr>
        <w:t xml:space="preserve">Measuring what Matters: Construct Validity in Large Language Model Benchmarks.</w:t>
      </w:r>
      <w:r>
        <w:rPr>
          <w:rFonts w:ascii="Times New Roman" w:cs="Times New Roman" w:eastAsia="Times New Roman" w:hAnsi="Times New Roman"/>
          <w:sz w:val="22"/>
          <w:szCs w:val="22"/>
        </w:rPr>
        <w:t xml:space="preserve"> arXiv:2511.04703. </w:t>
      </w:r>
      <w:r>
        <w:rPr>
          <w:rFonts w:ascii="Consolas" w:cs="Consolas" w:eastAsia="Consolas" w:hAnsi="Consolas"/>
          <w:sz w:val="20"/>
          <w:szCs w:val="20"/>
        </w:rPr>
        <w:t xml:space="preserve">[bean2025construct]</w:t>
      </w:r>
    </w:p>
    <w:p>
      <w:pPr>
        <w:pStyle w:val="ListParagraph"/>
        <w:numPr>
          <w:ilvl w:val="0"/>
          <w:numId w:val="3"/>
        </w:numPr>
        <w:spacing w:after="60"/>
        <w:jc w:val="both"/>
      </w:pPr>
      <w:r>
        <w:rPr>
          <w:rFonts w:ascii="Times New Roman" w:cs="Times New Roman" w:eastAsia="Times New Roman" w:hAnsi="Times New Roman"/>
          <w:sz w:val="22"/>
          <w:szCs w:val="22"/>
        </w:rPr>
        <w:t xml:space="preserve">Denis Federiakin (2025). </w:t>
      </w:r>
      <w:r>
        <w:rPr>
          <w:rFonts w:ascii="Times New Roman" w:cs="Times New Roman" w:eastAsia="Times New Roman" w:hAnsi="Times New Roman"/>
          <w:i/>
          <w:iCs/>
          <w:sz w:val="22"/>
          <w:szCs w:val="22"/>
        </w:rPr>
        <w:t xml:space="preserve">Improving LLM Leaderboards with Psychometrical Methodology.</w:t>
      </w:r>
      <w:r>
        <w:rPr>
          <w:rFonts w:ascii="Times New Roman" w:cs="Times New Roman" w:eastAsia="Times New Roman" w:hAnsi="Times New Roman"/>
          <w:sz w:val="22"/>
          <w:szCs w:val="22"/>
        </w:rPr>
        <w:t xml:space="preserve"> arXiv:2501.17200. </w:t>
      </w:r>
      <w:r>
        <w:rPr>
          <w:rFonts w:ascii="Consolas" w:cs="Consolas" w:eastAsia="Consolas" w:hAnsi="Consolas"/>
          <w:sz w:val="20"/>
          <w:szCs w:val="20"/>
        </w:rPr>
        <w:t xml:space="preserve">[federiakin2025psychometric]</w:t>
      </w:r>
    </w:p>
    <w:p>
      <w:pPr>
        <w:pStyle w:val="ListParagraph"/>
        <w:numPr>
          <w:ilvl w:val="0"/>
          <w:numId w:val="3"/>
        </w:numPr>
        <w:spacing w:after="60"/>
        <w:jc w:val="both"/>
      </w:pPr>
      <w:r>
        <w:rPr>
          <w:rFonts w:ascii="Times New Roman" w:cs="Times New Roman" w:eastAsia="Times New Roman" w:hAnsi="Times New Roman"/>
          <w:sz w:val="22"/>
          <w:szCs w:val="22"/>
        </w:rPr>
        <w:t xml:space="preserve">Hyeong Kyu Choi et al. (2025). </w:t>
      </w:r>
      <w:r>
        <w:rPr>
          <w:rFonts w:ascii="Times New Roman" w:cs="Times New Roman" w:eastAsia="Times New Roman" w:hAnsi="Times New Roman"/>
          <w:i/>
          <w:iCs/>
          <w:sz w:val="22"/>
          <w:szCs w:val="22"/>
        </w:rPr>
        <w:t xml:space="preserve">How Contaminated Is Your Benchmark? Quantifying Dataset Leakage in Large Language Models with Kernel Divergence.</w:t>
      </w:r>
      <w:r>
        <w:rPr>
          <w:rFonts w:ascii="Times New Roman" w:cs="Times New Roman" w:eastAsia="Times New Roman" w:hAnsi="Times New Roman"/>
          <w:sz w:val="22"/>
          <w:szCs w:val="22"/>
        </w:rPr>
        <w:t xml:space="preserve"> arXiv:2502.00678. </w:t>
      </w:r>
      <w:r>
        <w:rPr>
          <w:rFonts w:ascii="Consolas" w:cs="Consolas" w:eastAsia="Consolas" w:hAnsi="Consolas"/>
          <w:sz w:val="20"/>
          <w:szCs w:val="20"/>
        </w:rPr>
        <w:t xml:space="preserve">[choi2025kds]</w:t>
      </w:r>
    </w:p>
    <w:p>
      <w:pPr>
        <w:pStyle w:val="ListParagraph"/>
        <w:numPr>
          <w:ilvl w:val="0"/>
          <w:numId w:val="3"/>
        </w:numPr>
        <w:spacing w:after="60"/>
        <w:jc w:val="both"/>
      </w:pPr>
      <w:r>
        <w:rPr>
          <w:rFonts w:ascii="Times New Roman" w:cs="Times New Roman" w:eastAsia="Times New Roman" w:hAnsi="Times New Roman"/>
          <w:sz w:val="22"/>
          <w:szCs w:val="22"/>
        </w:rPr>
        <w:t xml:space="preserve">Marcel Meyer et al. (2025). </w:t>
      </w:r>
      <w:r>
        <w:rPr>
          <w:rFonts w:ascii="Times New Roman" w:cs="Times New Roman" w:eastAsia="Times New Roman" w:hAnsi="Times New Roman"/>
          <w:i/>
          <w:iCs/>
          <w:sz w:val="22"/>
          <w:szCs w:val="22"/>
        </w:rPr>
        <w:t xml:space="preserve">Rethinking Evaluation in the Era of Time Series Foundation Models: (Un)known Information Leakage Challenges.</w:t>
      </w:r>
      <w:r>
        <w:rPr>
          <w:rFonts w:ascii="Times New Roman" w:cs="Times New Roman" w:eastAsia="Times New Roman" w:hAnsi="Times New Roman"/>
          <w:sz w:val="22"/>
          <w:szCs w:val="22"/>
        </w:rPr>
        <w:t xml:space="preserve"> arXiv:2510.13654. </w:t>
      </w:r>
      <w:r>
        <w:rPr>
          <w:rFonts w:ascii="Consolas" w:cs="Consolas" w:eastAsia="Consolas" w:hAnsi="Consolas"/>
          <w:sz w:val="20"/>
          <w:szCs w:val="20"/>
        </w:rPr>
        <w:t xml:space="preserve">[meyer2025tsfm]</w:t>
      </w:r>
    </w:p>
    <w:p>
      <w:pPr>
        <w:pStyle w:val="ListParagraph"/>
        <w:numPr>
          <w:ilvl w:val="0"/>
          <w:numId w:val="3"/>
        </w:numPr>
        <w:spacing w:after="60"/>
        <w:jc w:val="both"/>
      </w:pPr>
      <w:r>
        <w:rPr>
          <w:rFonts w:ascii="Times New Roman" w:cs="Times New Roman" w:eastAsia="Times New Roman" w:hAnsi="Times New Roman"/>
          <w:sz w:val="22"/>
          <w:szCs w:val="22"/>
        </w:rPr>
        <w:t xml:space="preserve">Takashi Ishida et al. (2025). </w:t>
      </w:r>
      <w:r>
        <w:rPr>
          <w:rFonts w:ascii="Times New Roman" w:cs="Times New Roman" w:eastAsia="Times New Roman" w:hAnsi="Times New Roman"/>
          <w:i/>
          <w:iCs/>
          <w:sz w:val="22"/>
          <w:szCs w:val="22"/>
        </w:rPr>
        <w:t xml:space="preserve">CapBencher: Give Your LLM Benchmark a Built-in Alarm for Test-Set Overfitting.</w:t>
      </w:r>
      <w:r>
        <w:rPr>
          <w:rFonts w:ascii="Times New Roman" w:cs="Times New Roman" w:eastAsia="Times New Roman" w:hAnsi="Times New Roman"/>
          <w:sz w:val="22"/>
          <w:szCs w:val="22"/>
        </w:rPr>
        <w:t xml:space="preserve"> arXiv:2505.18102. </w:t>
      </w:r>
      <w:r>
        <w:rPr>
          <w:rFonts w:ascii="Consolas" w:cs="Consolas" w:eastAsia="Consolas" w:hAnsi="Consolas"/>
          <w:sz w:val="20"/>
          <w:szCs w:val="20"/>
        </w:rPr>
        <w:t xml:space="preserve">[ishida2025capbencher]</w:t>
      </w:r>
    </w:p>
    <w:p>
      <w:pPr>
        <w:pStyle w:val="ListParagraph"/>
        <w:numPr>
          <w:ilvl w:val="0"/>
          <w:numId w:val="3"/>
        </w:numPr>
        <w:spacing w:after="60"/>
        <w:jc w:val="both"/>
      </w:pPr>
      <w:r>
        <w:rPr>
          <w:rFonts w:ascii="Times New Roman" w:cs="Times New Roman" w:eastAsia="Times New Roman" w:hAnsi="Times New Roman"/>
          <w:sz w:val="22"/>
          <w:szCs w:val="22"/>
        </w:rPr>
        <w:t xml:space="preserve">Timo Freiesleben and Sebastian Zezulka (2025). </w:t>
      </w:r>
      <w:r>
        <w:rPr>
          <w:rFonts w:ascii="Times New Roman" w:cs="Times New Roman" w:eastAsia="Times New Roman" w:hAnsi="Times New Roman"/>
          <w:i/>
          <w:iCs/>
          <w:sz w:val="22"/>
          <w:szCs w:val="22"/>
        </w:rPr>
        <w:t xml:space="preserve">The Benchmarking Epistemology: Construct Validity for Evaluating Machine Learning Models.</w:t>
      </w:r>
      <w:r>
        <w:rPr>
          <w:rFonts w:ascii="Times New Roman" w:cs="Times New Roman" w:eastAsia="Times New Roman" w:hAnsi="Times New Roman"/>
          <w:sz w:val="22"/>
          <w:szCs w:val="22"/>
        </w:rPr>
        <w:t xml:space="preserve"> arXiv:2510.23191. </w:t>
      </w:r>
      <w:r>
        <w:rPr>
          <w:rFonts w:ascii="Consolas" w:cs="Consolas" w:eastAsia="Consolas" w:hAnsi="Consolas"/>
          <w:sz w:val="20"/>
          <w:szCs w:val="20"/>
        </w:rPr>
        <w:t xml:space="preserve">[freiesleben2025epistemology]</w:t>
      </w:r>
    </w:p>
    <w:p>
      <w:pPr>
        <w:pStyle w:val="ListParagraph"/>
        <w:numPr>
          <w:ilvl w:val="0"/>
          <w:numId w:val="3"/>
        </w:numPr>
        <w:spacing w:after="60"/>
        <w:jc w:val="both"/>
      </w:pPr>
      <w:r>
        <w:rPr>
          <w:rFonts w:ascii="Times New Roman" w:cs="Times New Roman" w:eastAsia="Times New Roman" w:hAnsi="Times New Roman"/>
          <w:sz w:val="22"/>
          <w:szCs w:val="22"/>
        </w:rPr>
        <w:t xml:space="preserve">Bitya Neuhof and Yuval Benjamini (2026). </w:t>
      </w:r>
      <w:r>
        <w:rPr>
          <w:rFonts w:ascii="Times New Roman" w:cs="Times New Roman" w:eastAsia="Times New Roman" w:hAnsi="Times New Roman"/>
          <w:i/>
          <w:iCs/>
          <w:sz w:val="22"/>
          <w:szCs w:val="22"/>
        </w:rPr>
        <w:t xml:space="preserve">Rank Intervals for Leaderboards: A Hierarchical Framework for Model Evaluation.</w:t>
      </w:r>
      <w:r>
        <w:rPr>
          <w:rFonts w:ascii="Times New Roman" w:cs="Times New Roman" w:eastAsia="Times New Roman" w:hAnsi="Times New Roman"/>
          <w:sz w:val="22"/>
          <w:szCs w:val="22"/>
        </w:rPr>
        <w:t xml:space="preserve"> arXiv:2606.08679. </w:t>
      </w:r>
      <w:r>
        <w:rPr>
          <w:rFonts w:ascii="Consolas" w:cs="Consolas" w:eastAsia="Consolas" w:hAnsi="Consolas"/>
          <w:sz w:val="20"/>
          <w:szCs w:val="20"/>
        </w:rPr>
        <w:t xml:space="preserve">[neuhof2026rankintervals]</w:t>
      </w:r>
    </w:p>
    <w:p>
      <w:pPr>
        <w:pStyle w:val="ListParagraph"/>
        <w:numPr>
          <w:ilvl w:val="0"/>
          <w:numId w:val="3"/>
        </w:numPr>
        <w:spacing w:after="60"/>
        <w:jc w:val="both"/>
      </w:pPr>
      <w:r>
        <w:rPr>
          <w:rFonts w:ascii="Times New Roman" w:cs="Times New Roman" w:eastAsia="Times New Roman" w:hAnsi="Times New Roman"/>
          <w:sz w:val="22"/>
          <w:szCs w:val="22"/>
        </w:rPr>
        <w:t xml:space="preserve">Han Jiang et al. (2026). </w:t>
      </w:r>
      <w:r>
        <w:rPr>
          <w:rFonts w:ascii="Times New Roman" w:cs="Times New Roman" w:eastAsia="Times New Roman" w:hAnsi="Times New Roman"/>
          <w:i/>
          <w:iCs/>
          <w:sz w:val="22"/>
          <w:szCs w:val="22"/>
        </w:rPr>
        <w:t xml:space="preserve">AI Evaluation Should Require Standardized Item-Level Data Releases.</w:t>
      </w:r>
      <w:r>
        <w:rPr>
          <w:rFonts w:ascii="Times New Roman" w:cs="Times New Roman" w:eastAsia="Times New Roman" w:hAnsi="Times New Roman"/>
          <w:sz w:val="22"/>
          <w:szCs w:val="22"/>
        </w:rPr>
        <w:t xml:space="preserve"> arXiv:2604.03244. </w:t>
      </w:r>
      <w:r>
        <w:rPr>
          <w:rFonts w:ascii="Consolas" w:cs="Consolas" w:eastAsia="Consolas" w:hAnsi="Consolas"/>
          <w:sz w:val="20"/>
          <w:szCs w:val="20"/>
        </w:rPr>
        <w:t xml:space="preserve">[jiang2026itemlevel]</w:t>
      </w:r>
    </w:p>
    <w:p>
      <w:pPr>
        <w:pStyle w:val="ListParagraph"/>
        <w:numPr>
          <w:ilvl w:val="0"/>
          <w:numId w:val="3"/>
        </w:numPr>
        <w:spacing w:after="60"/>
        <w:jc w:val="both"/>
      </w:pPr>
      <w:r>
        <w:rPr>
          <w:rFonts w:ascii="Times New Roman" w:cs="Times New Roman" w:eastAsia="Times New Roman" w:hAnsi="Times New Roman"/>
          <w:sz w:val="22"/>
          <w:szCs w:val="22"/>
        </w:rPr>
        <w:t xml:space="preserve">Hongkai Li et al. (2026). </w:t>
      </w:r>
      <w:r>
        <w:rPr>
          <w:rFonts w:ascii="Times New Roman" w:cs="Times New Roman" w:eastAsia="Times New Roman" w:hAnsi="Times New Roman"/>
          <w:i/>
          <w:iCs/>
          <w:sz w:val="22"/>
          <w:szCs w:val="22"/>
        </w:rPr>
        <w:t xml:space="preserve">TSFMAudit: Data Contamination Auditing in Forecasting Time Series Foundation Models.</w:t>
      </w:r>
      <w:r>
        <w:rPr>
          <w:rFonts w:ascii="Times New Roman" w:cs="Times New Roman" w:eastAsia="Times New Roman" w:hAnsi="Times New Roman"/>
          <w:sz w:val="22"/>
          <w:szCs w:val="22"/>
        </w:rPr>
        <w:t xml:space="preserve"> arXiv:2605.26161. </w:t>
      </w:r>
      <w:r>
        <w:rPr>
          <w:rFonts w:ascii="Consolas" w:cs="Consolas" w:eastAsia="Consolas" w:hAnsi="Consolas"/>
          <w:sz w:val="20"/>
          <w:szCs w:val="20"/>
        </w:rPr>
        <w:t xml:space="preserve">[li2026tsfmaudit]</w:t>
      </w:r>
    </w:p>
    <w:p>
      <w:pPr>
        <w:pStyle w:val="ListParagraph"/>
        <w:numPr>
          <w:ilvl w:val="0"/>
          <w:numId w:val="3"/>
        </w:numPr>
        <w:spacing w:after="60"/>
        <w:jc w:val="both"/>
      </w:pPr>
      <w:r>
        <w:rPr>
          <w:rFonts w:ascii="Times New Roman" w:cs="Times New Roman" w:eastAsia="Times New Roman" w:hAnsi="Times New Roman"/>
          <w:sz w:val="22"/>
          <w:szCs w:val="22"/>
        </w:rPr>
        <w:t xml:space="preserve">Hosna Oyarhoseini et al. (2026). </w:t>
      </w:r>
      <w:r>
        <w:rPr>
          <w:rFonts w:ascii="Times New Roman" w:cs="Times New Roman" w:eastAsia="Times New Roman" w:hAnsi="Times New Roman"/>
          <w:i/>
          <w:iCs/>
          <w:sz w:val="22"/>
          <w:szCs w:val="22"/>
        </w:rPr>
        <w:t xml:space="preserve">A Unified Perturbation Framework for Analyzing Leaderboard Stability and Manipulation.</w:t>
      </w:r>
      <w:r>
        <w:rPr>
          <w:rFonts w:ascii="Times New Roman" w:cs="Times New Roman" w:eastAsia="Times New Roman" w:hAnsi="Times New Roman"/>
          <w:sz w:val="22"/>
          <w:szCs w:val="22"/>
        </w:rPr>
        <w:t xml:space="preserve"> arXiv:2605.15761. </w:t>
      </w:r>
      <w:r>
        <w:rPr>
          <w:rFonts w:ascii="Consolas" w:cs="Consolas" w:eastAsia="Consolas" w:hAnsi="Consolas"/>
          <w:sz w:val="20"/>
          <w:szCs w:val="20"/>
        </w:rPr>
        <w:t xml:space="preserve">[oyarhoseini2026perturbation]</w:t>
      </w:r>
    </w:p>
    <w:p>
      <w:pPr>
        <w:pStyle w:val="ListParagraph"/>
        <w:numPr>
          <w:ilvl w:val="0"/>
          <w:numId w:val="3"/>
        </w:numPr>
        <w:spacing w:after="60"/>
        <w:jc w:val="both"/>
      </w:pPr>
      <w:r>
        <w:rPr>
          <w:rFonts w:ascii="Times New Roman" w:cs="Times New Roman" w:eastAsia="Times New Roman" w:hAnsi="Times New Roman"/>
          <w:sz w:val="22"/>
          <w:szCs w:val="22"/>
        </w:rPr>
        <w:t xml:space="preserve">Jianzhe Chai et al. (2026). </w:t>
      </w:r>
      <w:r>
        <w:rPr>
          <w:rFonts w:ascii="Times New Roman" w:cs="Times New Roman" w:eastAsia="Times New Roman" w:hAnsi="Times New Roman"/>
          <w:i/>
          <w:iCs/>
          <w:sz w:val="22"/>
          <w:szCs w:val="22"/>
        </w:rPr>
        <w:t xml:space="preserve">When Benchmarks Leak: Inference-Time Decontamination for LLMs.</w:t>
      </w:r>
      <w:r>
        <w:rPr>
          <w:rFonts w:ascii="Times New Roman" w:cs="Times New Roman" w:eastAsia="Times New Roman" w:hAnsi="Times New Roman"/>
          <w:sz w:val="22"/>
          <w:szCs w:val="22"/>
        </w:rPr>
        <w:t xml:space="preserve"> arXiv:2601.19334. </w:t>
      </w:r>
      <w:r>
        <w:rPr>
          <w:rFonts w:ascii="Consolas" w:cs="Consolas" w:eastAsia="Consolas" w:hAnsi="Consolas"/>
          <w:sz w:val="20"/>
          <w:szCs w:val="20"/>
        </w:rPr>
        <w:t xml:space="preserve">[chai2026inferencetime]</w:t>
      </w:r>
    </w:p>
    <w:p>
      <w:pPr>
        <w:pStyle w:val="ListParagraph"/>
        <w:numPr>
          <w:ilvl w:val="0"/>
          <w:numId w:val="3"/>
        </w:numPr>
        <w:spacing w:after="60"/>
        <w:jc w:val="both"/>
      </w:pPr>
      <w:r>
        <w:rPr>
          <w:rFonts w:ascii="Times New Roman" w:cs="Times New Roman" w:eastAsia="Times New Roman" w:hAnsi="Times New Roman"/>
          <w:sz w:val="22"/>
          <w:szCs w:val="22"/>
        </w:rPr>
        <w:t xml:space="preserve">Md. Niamul Islam Sium (2026). </w:t>
      </w:r>
      <w:r>
        <w:rPr>
          <w:rFonts w:ascii="Times New Roman" w:cs="Times New Roman" w:eastAsia="Times New Roman" w:hAnsi="Times New Roman"/>
          <w:i/>
          <w:iCs/>
          <w:sz w:val="22"/>
          <w:szCs w:val="22"/>
        </w:rPr>
        <w:t xml:space="preserve">Quantifying Robustness to Unmeasured Confounding in Time-Varying Treatment Confounder Settings: An Extension of E-value Approach.</w:t>
      </w:r>
      <w:r>
        <w:rPr>
          <w:rFonts w:ascii="Times New Roman" w:cs="Times New Roman" w:eastAsia="Times New Roman" w:hAnsi="Times New Roman"/>
          <w:sz w:val="22"/>
          <w:szCs w:val="22"/>
        </w:rPr>
        <w:t xml:space="preserve"> arXiv:2602.24261. </w:t>
      </w:r>
      <w:r>
        <w:rPr>
          <w:rFonts w:ascii="Consolas" w:cs="Consolas" w:eastAsia="Consolas" w:hAnsi="Consolas"/>
          <w:sz w:val="20"/>
          <w:szCs w:val="20"/>
        </w:rPr>
        <w:t xml:space="preserve">[sium2026timevarying]</w:t>
      </w:r>
    </w:p>
    <w:p>
      <w:pPr>
        <w:pStyle w:val="ListParagraph"/>
        <w:numPr>
          <w:ilvl w:val="0"/>
          <w:numId w:val="3"/>
        </w:numPr>
        <w:spacing w:after="60"/>
        <w:jc w:val="both"/>
      </w:pPr>
      <w:r>
        <w:rPr>
          <w:rFonts w:ascii="Times New Roman" w:cs="Times New Roman" w:eastAsia="Times New Roman" w:hAnsi="Times New Roman"/>
          <w:sz w:val="22"/>
          <w:szCs w:val="22"/>
        </w:rPr>
        <w:t xml:space="preserve">Muhammed Yusuf Kocyigit and Caglar Yildirim (2026). </w:t>
      </w:r>
      <w:r>
        <w:rPr>
          <w:rFonts w:ascii="Times New Roman" w:cs="Times New Roman" w:eastAsia="Times New Roman" w:hAnsi="Times New Roman"/>
          <w:i/>
          <w:iCs/>
          <w:sz w:val="22"/>
          <w:szCs w:val="22"/>
        </w:rPr>
        <w:t xml:space="preserve">The Impact of Post-training on Data Contamination.</w:t>
      </w:r>
      <w:r>
        <w:rPr>
          <w:rFonts w:ascii="Times New Roman" w:cs="Times New Roman" w:eastAsia="Times New Roman" w:hAnsi="Times New Roman"/>
          <w:sz w:val="22"/>
          <w:szCs w:val="22"/>
        </w:rPr>
        <w:t xml:space="preserve"> arXiv:2601.06103. </w:t>
      </w:r>
      <w:r>
        <w:rPr>
          <w:rFonts w:ascii="Consolas" w:cs="Consolas" w:eastAsia="Consolas" w:hAnsi="Consolas"/>
          <w:sz w:val="20"/>
          <w:szCs w:val="20"/>
        </w:rPr>
        <w:t xml:space="preserve">[kocyigit2026posttraining]</w:t>
      </w:r>
    </w:p>
    <w:p>
      <w:pPr>
        <w:pStyle w:val="ListParagraph"/>
        <w:numPr>
          <w:ilvl w:val="0"/>
          <w:numId w:val="3"/>
        </w:numPr>
        <w:spacing w:after="60"/>
        <w:jc w:val="both"/>
      </w:pPr>
      <w:r>
        <w:rPr>
          <w:rFonts w:ascii="Times New Roman" w:cs="Times New Roman" w:eastAsia="Times New Roman" w:hAnsi="Times New Roman"/>
          <w:sz w:val="22"/>
          <w:szCs w:val="22"/>
        </w:rPr>
        <w:t xml:space="preserve">Polina Gordienko et al. (2026). </w:t>
      </w:r>
      <w:r>
        <w:rPr>
          <w:rFonts w:ascii="Times New Roman" w:cs="Times New Roman" w:eastAsia="Times New Roman" w:hAnsi="Times New Roman"/>
          <w:i/>
          <w:iCs/>
          <w:sz w:val="22"/>
          <w:szCs w:val="22"/>
        </w:rPr>
        <w:t xml:space="preserve">How Hard is it to Rig a Benchmark? A Social Choice Analysis of Leaderboard Robustness.</w:t>
      </w:r>
      <w:r>
        <w:rPr>
          <w:rFonts w:ascii="Times New Roman" w:cs="Times New Roman" w:eastAsia="Times New Roman" w:hAnsi="Times New Roman"/>
          <w:sz w:val="22"/>
          <w:szCs w:val="22"/>
        </w:rPr>
        <w:t xml:space="preserve"> arXiv:2605.23628. </w:t>
      </w:r>
      <w:r>
        <w:rPr>
          <w:rFonts w:ascii="Consolas" w:cs="Consolas" w:eastAsia="Consolas" w:hAnsi="Consolas"/>
          <w:sz w:val="20"/>
          <w:szCs w:val="20"/>
        </w:rPr>
        <w:t xml:space="preserve">[gordienko2026socialchoice]</w:t>
      </w:r>
    </w:p>
    <w:p>
      <w:pPr>
        <w:pStyle w:val="ListParagraph"/>
        <w:numPr>
          <w:ilvl w:val="0"/>
          <w:numId w:val="3"/>
        </w:numPr>
        <w:spacing w:after="60"/>
        <w:jc w:val="both"/>
      </w:pPr>
      <w:r>
        <w:rPr>
          <w:rFonts w:ascii="Times New Roman" w:cs="Times New Roman" w:eastAsia="Times New Roman" w:hAnsi="Times New Roman"/>
          <w:sz w:val="22"/>
          <w:szCs w:val="22"/>
        </w:rPr>
        <w:t xml:space="preserve">Rylan Schaeffer et al. (2026). </w:t>
      </w:r>
      <w:r>
        <w:rPr>
          <w:rFonts w:ascii="Times New Roman" w:cs="Times New Roman" w:eastAsia="Times New Roman" w:hAnsi="Times New Roman"/>
          <w:i/>
          <w:iCs/>
          <w:sz w:val="22"/>
          <w:szCs w:val="22"/>
        </w:rPr>
        <w:t xml:space="preserve">Quantifying the Effect of Test Set Contamination on Generative Evaluations.</w:t>
      </w:r>
      <w:r>
        <w:rPr>
          <w:rFonts w:ascii="Times New Roman" w:cs="Times New Roman" w:eastAsia="Times New Roman" w:hAnsi="Times New Roman"/>
          <w:sz w:val="22"/>
          <w:szCs w:val="22"/>
        </w:rPr>
        <w:t xml:space="preserve"> arXiv:2601.04301. </w:t>
      </w:r>
      <w:r>
        <w:rPr>
          <w:rFonts w:ascii="Consolas" w:cs="Consolas" w:eastAsia="Consolas" w:hAnsi="Consolas"/>
          <w:sz w:val="20"/>
          <w:szCs w:val="20"/>
        </w:rPr>
        <w:t xml:space="preserve">[schaeffer2026quantifying]</w:t>
      </w:r>
    </w:p>
    <w:p>
      <w:pPr>
        <w:spacing w:after="120" w:line="300"/>
        <w:jc w:val="both"/>
      </w:pPr>
      <w:r>
        <w:rPr>
          <w:rFonts w:ascii="Times New Roman" w:cs="Times New Roman" w:eastAsia="Times New Roman" w:hAnsi="Times New Roman"/>
          <w:sz w:val="22"/>
          <w:szCs w:val="22"/>
        </w:rPr>
        <w:t xml:space="preserve">Classical statistics references (transcribed; verify against the publisher record before submission):</w:t>
      </w:r>
    </w:p>
    <w:p>
      <w:pPr>
        <w:pStyle w:val="ListParagraph"/>
        <w:numPr>
          <w:ilvl w:val="0"/>
          <w:numId w:val="3"/>
        </w:numPr>
        <w:spacing w:after="60"/>
        <w:jc w:val="both"/>
      </w:pPr>
      <w:r>
        <w:rPr>
          <w:rFonts w:ascii="Times New Roman" w:cs="Times New Roman" w:eastAsia="Times New Roman" w:hAnsi="Times New Roman"/>
          <w:sz w:val="22"/>
          <w:szCs w:val="22"/>
        </w:rPr>
        <w:t xml:space="preserve">Rosenbaum, P. R. (1987). </w:t>
      </w:r>
      <w:r>
        <w:rPr>
          <w:rFonts w:ascii="Times New Roman" w:cs="Times New Roman" w:eastAsia="Times New Roman" w:hAnsi="Times New Roman"/>
          <w:i/>
          <w:iCs/>
          <w:sz w:val="22"/>
          <w:szCs w:val="22"/>
        </w:rPr>
        <w:t xml:space="preserve">Sensitivity analysis for certain permutation inferences in matched observational studies.</w:t>
      </w:r>
      <w:r>
        <w:rPr>
          <w:rFonts w:ascii="Times New Roman" w:cs="Times New Roman" w:eastAsia="Times New Roman" w:hAnsi="Times New Roman"/>
          <w:sz w:val="22"/>
          <w:szCs w:val="22"/>
        </w:rPr>
        <w:t xml:space="preserve"> Biometrika 74(1), 13–26. </w:t>
      </w:r>
      <w:r>
        <w:rPr>
          <w:rFonts w:ascii="Consolas" w:cs="Consolas" w:eastAsia="Consolas" w:hAnsi="Consolas"/>
          <w:sz w:val="20"/>
          <w:szCs w:val="20"/>
        </w:rPr>
        <w:t xml:space="preserve">[rosenbaum1987sensitivity]</w:t>
      </w:r>
    </w:p>
    <w:p>
      <w:pPr>
        <w:pStyle w:val="ListParagraph"/>
        <w:numPr>
          <w:ilvl w:val="0"/>
          <w:numId w:val="3"/>
        </w:numPr>
        <w:spacing w:after="60"/>
        <w:jc w:val="both"/>
      </w:pPr>
      <w:r>
        <w:rPr>
          <w:rFonts w:ascii="Times New Roman" w:cs="Times New Roman" w:eastAsia="Times New Roman" w:hAnsi="Times New Roman"/>
          <w:sz w:val="22"/>
          <w:szCs w:val="22"/>
        </w:rPr>
        <w:t xml:space="preserve">Tan, Z. (2006). </w:t>
      </w:r>
      <w:r>
        <w:rPr>
          <w:rFonts w:ascii="Times New Roman" w:cs="Times New Roman" w:eastAsia="Times New Roman" w:hAnsi="Times New Roman"/>
          <w:i/>
          <w:iCs/>
          <w:sz w:val="22"/>
          <w:szCs w:val="22"/>
        </w:rPr>
        <w:t xml:space="preserve">A distributional approach for causal inference using propensity scores.</w:t>
      </w:r>
      <w:r>
        <w:rPr>
          <w:rFonts w:ascii="Times New Roman" w:cs="Times New Roman" w:eastAsia="Times New Roman" w:hAnsi="Times New Roman"/>
          <w:sz w:val="22"/>
          <w:szCs w:val="22"/>
        </w:rPr>
        <w:t xml:space="preserve"> JASA 101(476), 1619–1637. </w:t>
      </w:r>
      <w:r>
        <w:rPr>
          <w:rFonts w:ascii="Consolas" w:cs="Consolas" w:eastAsia="Consolas" w:hAnsi="Consolas"/>
          <w:sz w:val="20"/>
          <w:szCs w:val="20"/>
        </w:rPr>
        <w:t xml:space="preserve">[tan2006distributional]</w:t>
      </w:r>
    </w:p>
    <w:p>
      <w:pPr>
        <w:pStyle w:val="ListParagraph"/>
        <w:numPr>
          <w:ilvl w:val="0"/>
          <w:numId w:val="3"/>
        </w:numPr>
        <w:spacing w:after="60"/>
        <w:jc w:val="both"/>
      </w:pPr>
      <w:r>
        <w:rPr>
          <w:rFonts w:ascii="Times New Roman" w:cs="Times New Roman" w:eastAsia="Times New Roman" w:hAnsi="Times New Roman"/>
          <w:sz w:val="22"/>
          <w:szCs w:val="22"/>
        </w:rPr>
        <w:t xml:space="preserve">VanderWeele, T. J. and Ding, P. (2017). </w:t>
      </w:r>
      <w:r>
        <w:rPr>
          <w:rFonts w:ascii="Times New Roman" w:cs="Times New Roman" w:eastAsia="Times New Roman" w:hAnsi="Times New Roman"/>
          <w:i/>
          <w:iCs/>
          <w:sz w:val="22"/>
          <w:szCs w:val="22"/>
        </w:rPr>
        <w:t xml:space="preserve">Sensitivity analysis in observational research: introducing the E-value.</w:t>
      </w:r>
      <w:r>
        <w:rPr>
          <w:rFonts w:ascii="Times New Roman" w:cs="Times New Roman" w:eastAsia="Times New Roman" w:hAnsi="Times New Roman"/>
          <w:sz w:val="22"/>
          <w:szCs w:val="22"/>
        </w:rPr>
        <w:t xml:space="preserve"> Annals of Internal Medicine 167(4), 268–274. </w:t>
      </w:r>
      <w:r>
        <w:rPr>
          <w:rFonts w:ascii="Consolas" w:cs="Consolas" w:eastAsia="Consolas" w:hAnsi="Consolas"/>
          <w:sz w:val="20"/>
          <w:szCs w:val="20"/>
        </w:rPr>
        <w:t xml:space="preserve">[vanderweele2017evalue]</w:t>
      </w:r>
    </w:p>
    <w:p>
      <w:pPr>
        <w:pStyle w:val="ListParagraph"/>
        <w:numPr>
          <w:ilvl w:val="0"/>
          <w:numId w:val="3"/>
        </w:numPr>
        <w:spacing w:after="60"/>
        <w:jc w:val="both"/>
      </w:pPr>
      <w:r>
        <w:rPr>
          <w:rFonts w:ascii="Times New Roman" w:cs="Times New Roman" w:eastAsia="Times New Roman" w:hAnsi="Times New Roman"/>
          <w:sz w:val="22"/>
          <w:szCs w:val="22"/>
        </w:rPr>
        <w:t xml:space="preserve">Imbens, G. W. and Manski, C. F. (2004). </w:t>
      </w:r>
      <w:r>
        <w:rPr>
          <w:rFonts w:ascii="Times New Roman" w:cs="Times New Roman" w:eastAsia="Times New Roman" w:hAnsi="Times New Roman"/>
          <w:i/>
          <w:iCs/>
          <w:sz w:val="22"/>
          <w:szCs w:val="22"/>
        </w:rPr>
        <w:t xml:space="preserve">Confidence intervals for partially identified parameters.</w:t>
      </w:r>
      <w:r>
        <w:rPr>
          <w:rFonts w:ascii="Times New Roman" w:cs="Times New Roman" w:eastAsia="Times New Roman" w:hAnsi="Times New Roman"/>
          <w:sz w:val="22"/>
          <w:szCs w:val="22"/>
        </w:rPr>
        <w:t xml:space="preserve"> Econometrica 72(6), 1845–1857. </w:t>
      </w:r>
      <w:r>
        <w:rPr>
          <w:rFonts w:ascii="Consolas" w:cs="Consolas" w:eastAsia="Consolas" w:hAnsi="Consolas"/>
          <w:sz w:val="20"/>
          <w:szCs w:val="20"/>
        </w:rPr>
        <w:t xml:space="preserve">[imbens2004confidence]</w:t>
      </w:r>
    </w:p>
    <w:p>
      <w:pPr>
        <w:pStyle w:val="ListParagraph"/>
        <w:numPr>
          <w:ilvl w:val="0"/>
          <w:numId w:val="3"/>
        </w:numPr>
        <w:spacing w:after="60"/>
        <w:jc w:val="both"/>
      </w:pPr>
      <w:r>
        <w:rPr>
          <w:rFonts w:ascii="Times New Roman" w:cs="Times New Roman" w:eastAsia="Times New Roman" w:hAnsi="Times New Roman"/>
          <w:sz w:val="22"/>
          <w:szCs w:val="22"/>
        </w:rPr>
        <w:t xml:space="preserve">Benjamini, Y. and Hochberg, Y. (1995). </w:t>
      </w:r>
      <w:r>
        <w:rPr>
          <w:rFonts w:ascii="Times New Roman" w:cs="Times New Roman" w:eastAsia="Times New Roman" w:hAnsi="Times New Roman"/>
          <w:i/>
          <w:iCs/>
          <w:sz w:val="22"/>
          <w:szCs w:val="22"/>
        </w:rPr>
        <w:t xml:space="preserve">Controlling the false discovery rate.</w:t>
      </w:r>
      <w:r>
        <w:rPr>
          <w:rFonts w:ascii="Times New Roman" w:cs="Times New Roman" w:eastAsia="Times New Roman" w:hAnsi="Times New Roman"/>
          <w:sz w:val="22"/>
          <w:szCs w:val="22"/>
        </w:rPr>
        <w:t xml:space="preserve"> JRSS-B 57(1), 289–300. </w:t>
      </w:r>
      <w:r>
        <w:rPr>
          <w:rFonts w:ascii="Consolas" w:cs="Consolas" w:eastAsia="Consolas" w:hAnsi="Consolas"/>
          <w:sz w:val="20"/>
          <w:szCs w:val="20"/>
        </w:rPr>
        <w:t xml:space="preserve">[benjamini1995controlling]</w:t>
      </w:r>
    </w:p>
    <w:p>
      <w:pPr>
        <w:pStyle w:val="ListParagraph"/>
        <w:numPr>
          <w:ilvl w:val="0"/>
          <w:numId w:val="3"/>
        </w:numPr>
        <w:spacing w:after="60"/>
        <w:jc w:val="both"/>
      </w:pPr>
      <w:r>
        <w:rPr>
          <w:rFonts w:ascii="Times New Roman" w:cs="Times New Roman" w:eastAsia="Times New Roman" w:hAnsi="Times New Roman"/>
          <w:sz w:val="22"/>
          <w:szCs w:val="22"/>
        </w:rPr>
        <w:t xml:space="preserve">Benjamini, Y. and Yekutieli, D. (2001). </w:t>
      </w:r>
      <w:r>
        <w:rPr>
          <w:rFonts w:ascii="Times New Roman" w:cs="Times New Roman" w:eastAsia="Times New Roman" w:hAnsi="Times New Roman"/>
          <w:i/>
          <w:iCs/>
          <w:sz w:val="22"/>
          <w:szCs w:val="22"/>
        </w:rPr>
        <w:t xml:space="preserve">The control of the false discovery rate in multiple testing under dependency.</w:t>
      </w:r>
      <w:r>
        <w:rPr>
          <w:rFonts w:ascii="Times New Roman" w:cs="Times New Roman" w:eastAsia="Times New Roman" w:hAnsi="Times New Roman"/>
          <w:sz w:val="22"/>
          <w:szCs w:val="22"/>
        </w:rPr>
        <w:t xml:space="preserve"> Annals of Statistics 29(4), 1165–1188. </w:t>
      </w:r>
      <w:r>
        <w:rPr>
          <w:rFonts w:ascii="Consolas" w:cs="Consolas" w:eastAsia="Consolas" w:hAnsi="Consolas"/>
          <w:sz w:val="20"/>
          <w:szCs w:val="20"/>
        </w:rPr>
        <w:t xml:space="preserve">[benjamini2001control]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18"/>
        <w:szCs w:val="18"/>
      </w:rPr>
      <w:t xml:space="preserve">Contamination Sensitivity Analysis for Benchmark Claims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20"/>
      <w:outlineLvl w:val="0"/>
    </w:pPr>
    <w:rPr>
      <w:rFonts w:ascii="Times New Roman" w:cs="Times New Roman" w:eastAsia="Times New Roman" w:hAnsi="Times New Roman"/>
      <w:b/>
      <w:bCs/>
      <w:sz w:val="28"/>
      <w:szCs w:val="28"/>
    </w:rPr>
  </w:style>
  <w:style w:type="paragraph" w:styleId="Heading2">
    <w:name w:val="Heading 2"/>
    <w:basedOn w:val="Normal"/>
    <w:next w:val="Normal"/>
    <w:pPr>
      <w:spacing w:after="120" w:before="240"/>
      <w:outlineLvl w:val="1"/>
    </w:pPr>
    <w:rPr>
      <w:rFonts w:ascii="Times New Roman" w:cs="Times New Roman" w:eastAsia="Times New Roman" w:hAnsi="Times New Roman"/>
      <w:b/>
      <w:bCs/>
      <w:sz w:val="25"/>
      <w:szCs w:val="25"/>
    </w:rPr>
  </w:style>
  <w:style w:type="paragraph" w:styleId="Heading3">
    <w:name w:val="Heading 3"/>
    <w:basedOn w:val="Normal"/>
    <w:next w:val="Normal"/>
    <w:pPr>
      <w:spacing w:after="100" w:before="200"/>
      <w:outlineLvl w:val="2"/>
    </w:pPr>
    <w:rPr>
      <w:rFonts w:ascii="Times New Roman" w:cs="Times New Roman" w:eastAsia="Times New Roman" w:hAnsi="Times New Roman"/>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ooykm08hrozigqr1guxes" Type="http://schemas.openxmlformats.org/officeDocument/2006/relationships/hyperlink" Target="https://osf.io/2436z" TargetMode="External"/><Relationship Id="rIdt3qatdumgtjsmja8h7isd" Type="http://schemas.openxmlformats.org/officeDocument/2006/relationships/hyperlink" Target="https://github.com/tanviranjumjoarder/contamsens" TargetMode="External"/><Relationship Id="rId7j1fjsnfeppwgsz4ezesn" Type="http://schemas.openxmlformats.org/officeDocument/2006/relationships/hyperlink" Target="https://osf.io/2436z" TargetMode="External"/><Relationship Id="rId9" Type="http://schemas.openxmlformats.org/officeDocument/2006/relationships/image" Target="media/b493fffa5f51d06120b2b1d5349a8a046dd6be4e.png"/><Relationship Id="rId10" Type="http://schemas.openxmlformats.org/officeDocument/2006/relationships/image" Target="media/dbdf4befb3c25e118501dc6375dcec583b333bab.png"/><Relationship Id="rId11" Type="http://schemas.openxmlformats.org/officeDocument/2006/relationships/image" Target="media/238e06121c6b1aceafc190b9c278acb98fe1c32e.png"/><Relationship Id="rId12" Type="http://schemas.openxmlformats.org/officeDocument/2006/relationships/image" Target="media/cafddf260b9ef1d006cb5b8bb90f05fe015c123d.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2026-07-29T09:07:26.935Z</dcterms:created>
  <dcterms:modified xsi:type="dcterms:W3CDTF">2026-07-29T09:07:26.935Z</dcterms:modified>
</cp:coreProperties>
</file>

<file path=docProps/custom.xml><?xml version="1.0" encoding="utf-8"?>
<Properties xmlns="http://schemas.openxmlformats.org/officeDocument/2006/custom-properties" xmlns:vt="http://schemas.openxmlformats.org/officeDocument/2006/docPropsVTypes"/>
</file>