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460" w:line="240" w:lineRule="auto"/>
        <w:ind w:left="540" w:right="540" w:firstLine="0"/>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Enhancing Monkeypox Detection: A Fusion of Machine Learning and Transfer Learning</w:t>
      </w:r>
    </w:p>
    <w:p w:rsidR="00000000" w:rsidDel="00000000" w:rsidP="00000000" w:rsidRDefault="00000000" w:rsidRPr="00000000" w14:paraId="00000002">
      <w:pPr>
        <w:widowControl w:val="0"/>
        <w:spacing w:line="240" w:lineRule="auto"/>
        <w:ind w:firstLine="284"/>
        <w:jc w:val="center"/>
        <w:rPr>
          <w:rFonts w:ascii="Times New Roman" w:cs="Times New Roman" w:eastAsia="Times New Roman" w:hAnsi="Times New Roman"/>
          <w:sz w:val="13"/>
          <w:szCs w:val="13"/>
          <w:vertAlign w:val="superscript"/>
        </w:rPr>
      </w:pPr>
      <w:r w:rsidDel="00000000" w:rsidR="00000000" w:rsidRPr="00000000">
        <w:rPr>
          <w:rFonts w:ascii="Times New Roman" w:cs="Times New Roman" w:eastAsia="Times New Roman" w:hAnsi="Times New Roman"/>
          <w:sz w:val="20"/>
          <w:szCs w:val="20"/>
          <w:rtl w:val="0"/>
        </w:rPr>
        <w:t xml:space="preserve">MD.Tanvir Rahman</w:t>
      </w:r>
      <w:r w:rsidDel="00000000" w:rsidR="00000000" w:rsidRPr="00000000">
        <w:rPr>
          <w:rFonts w:ascii="Times New Roman" w:cs="Times New Roman" w:eastAsia="Times New Roman" w:hAnsi="Times New Roman"/>
          <w:sz w:val="13"/>
          <w:szCs w:val="13"/>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Mohammad Ashfak Habib</w:t>
      </w:r>
      <w:r w:rsidDel="00000000" w:rsidR="00000000" w:rsidRPr="00000000">
        <w:rPr>
          <w:rFonts w:ascii="Times New Roman" w:cs="Times New Roman" w:eastAsia="Times New Roman" w:hAnsi="Times New Roman"/>
          <w:sz w:val="13"/>
          <w:szCs w:val="13"/>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Rafia Akhter</w:t>
      </w:r>
      <w:r w:rsidDel="00000000" w:rsidR="00000000" w:rsidRPr="00000000">
        <w:rPr>
          <w:rFonts w:ascii="Times New Roman" w:cs="Times New Roman" w:eastAsia="Times New Roman" w:hAnsi="Times New Roman"/>
          <w:sz w:val="13"/>
          <w:szCs w:val="13"/>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widowControl w:val="0"/>
        <w:spacing w:line="240" w:lineRule="auto"/>
        <w:ind w:firstLine="284"/>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ind w:firstLine="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3"/>
          <w:szCs w:val="13"/>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Springer-Verlag, Computer Science Editorial, Heidelberg, Germany </w:t>
      </w:r>
    </w:p>
    <w:p w:rsidR="00000000" w:rsidDel="00000000" w:rsidP="00000000" w:rsidRDefault="00000000" w:rsidRPr="00000000" w14:paraId="00000005">
      <w:pPr>
        <w:widowControl w:val="0"/>
        <w:spacing w:line="240" w:lineRule="auto"/>
        <w:ind w:firstLine="284"/>
        <w:jc w:val="center"/>
        <w:rPr>
          <w:rFonts w:ascii="Courier" w:cs="Courier" w:eastAsia="Courier" w:hAnsi="Courier"/>
          <w:sz w:val="18"/>
          <w:szCs w:val="18"/>
        </w:rPr>
      </w:pPr>
      <w:r w:rsidDel="00000000" w:rsidR="00000000" w:rsidRPr="00000000">
        <w:rPr>
          <w:rFonts w:ascii="Courier" w:cs="Courier" w:eastAsia="Courier" w:hAnsi="Courier"/>
          <w:sz w:val="18"/>
          <w:szCs w:val="18"/>
          <w:rtl w:val="0"/>
        </w:rPr>
        <w:t xml:space="preserve">{alfred.hofmann,ralf.gerstner,anna.kramer}@springer.com </w:t>
      </w:r>
    </w:p>
    <w:p w:rsidR="00000000" w:rsidDel="00000000" w:rsidP="00000000" w:rsidRDefault="00000000" w:rsidRPr="00000000" w14:paraId="00000006">
      <w:pPr>
        <w:widowControl w:val="0"/>
        <w:spacing w:line="240" w:lineRule="auto"/>
        <w:ind w:firstLine="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3"/>
          <w:szCs w:val="13"/>
          <w:vertAlign w:val="superscript"/>
          <w:rtl w:val="0"/>
        </w:rPr>
        <w:t xml:space="preserve">2 </w:t>
      </w:r>
      <w:r w:rsidDel="00000000" w:rsidR="00000000" w:rsidRPr="00000000">
        <w:rPr>
          <w:rFonts w:ascii="Times New Roman" w:cs="Times New Roman" w:eastAsia="Times New Roman" w:hAnsi="Times New Roman"/>
          <w:sz w:val="20"/>
          <w:szCs w:val="20"/>
          <w:rtl w:val="0"/>
        </w:rPr>
        <w:t xml:space="preserve">Springer-Verlag, Technical Support, Heidelberg, Germany </w:t>
      </w:r>
    </w:p>
    <w:p w:rsidR="00000000" w:rsidDel="00000000" w:rsidP="00000000" w:rsidRDefault="00000000" w:rsidRPr="00000000" w14:paraId="00000007">
      <w:pPr>
        <w:widowControl w:val="0"/>
        <w:spacing w:line="240" w:lineRule="auto"/>
        <w:ind w:firstLine="284"/>
        <w:jc w:val="center"/>
        <w:rPr>
          <w:rFonts w:ascii="Courier" w:cs="Courier" w:eastAsia="Courier" w:hAnsi="Courier"/>
          <w:sz w:val="18"/>
          <w:szCs w:val="18"/>
        </w:rPr>
      </w:pPr>
      <w:r w:rsidDel="00000000" w:rsidR="00000000" w:rsidRPr="00000000">
        <w:rPr>
          <w:rFonts w:ascii="Courier" w:cs="Courier" w:eastAsia="Courier" w:hAnsi="Courier"/>
          <w:sz w:val="18"/>
          <w:szCs w:val="18"/>
          <w:rtl w:val="0"/>
        </w:rPr>
        <w:t xml:space="preserve">frank.holzwarth@springer.com </w:t>
      </w:r>
    </w:p>
    <w:p w:rsidR="00000000" w:rsidDel="00000000" w:rsidP="00000000" w:rsidRDefault="00000000" w:rsidRPr="00000000" w14:paraId="00000008">
      <w:pPr>
        <w:widowControl w:val="0"/>
        <w:spacing w:after="120" w:before="600" w:line="240" w:lineRule="auto"/>
        <w:ind w:left="540" w:right="567" w:firstLine="0"/>
        <w:jc w:val="both"/>
        <w:rPr>
          <w:rFonts w:ascii="Times New Roman" w:cs="Times New Roman" w:eastAsia="Times New Roman" w:hAnsi="Times New Roman"/>
          <w:color w:val="0f0f0f"/>
          <w:sz w:val="18"/>
          <w:szCs w:val="18"/>
        </w:rPr>
      </w:pPr>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color w:val="0f0f0f"/>
          <w:sz w:val="18"/>
          <w:szCs w:val="18"/>
          <w:rtl w:val="0"/>
        </w:rPr>
        <w:t xml:space="preserve"> The major player in the revolution of early detection and diagnosis of brain tumors, with great implications for patient outcomes, is medical image processing. It is an inherently difficult and time-consuming task to manually classify brain tumors by experienced experts, even though manual classification has proven effective. A promising avenue has emerged as the integration of automatic segmentation techniques, which promises improved efficiency and performance in response to these challenges.</w:t>
      </w:r>
    </w:p>
    <w:p w:rsidR="00000000" w:rsidDel="00000000" w:rsidP="00000000" w:rsidRDefault="00000000" w:rsidRPr="00000000" w14:paraId="00000009">
      <w:pPr>
        <w:widowControl w:val="0"/>
        <w:spacing w:after="120" w:before="600" w:line="240" w:lineRule="auto"/>
        <w:ind w:left="540" w:right="567" w:firstLine="0"/>
        <w:jc w:val="both"/>
        <w:rPr>
          <w:rFonts w:ascii="Times New Roman" w:cs="Times New Roman" w:eastAsia="Times New Roman" w:hAnsi="Times New Roman"/>
          <w:color w:val="0f0f0f"/>
          <w:sz w:val="18"/>
          <w:szCs w:val="18"/>
        </w:rPr>
      </w:pPr>
      <w:r w:rsidDel="00000000" w:rsidR="00000000" w:rsidRPr="00000000">
        <w:rPr>
          <w:rFonts w:ascii="Times New Roman" w:cs="Times New Roman" w:eastAsia="Times New Roman" w:hAnsi="Times New Roman"/>
          <w:color w:val="0f0f0f"/>
          <w:sz w:val="18"/>
          <w:szCs w:val="18"/>
          <w:rtl w:val="0"/>
        </w:rPr>
        <w:t xml:space="preserve">This long work aims to provide an in-depth and critical analysis of MRI-based brain tumor segmentation techniques, with a critical eye toward the most recent developments in automatic segmentation techniques. Our analysis explores the rapidly changing field of completely automatic segmentation approaches, which diverges from the evaluations that mostly focus on traditional methodologies. The discussion opens with a broad summary that emphasizes how important brain tumor segmentation is to medical image processing as a whole. </w:t>
      </w:r>
    </w:p>
    <w:p w:rsidR="00000000" w:rsidDel="00000000" w:rsidP="00000000" w:rsidRDefault="00000000" w:rsidRPr="00000000" w14:paraId="0000000A">
      <w:pPr>
        <w:widowControl w:val="0"/>
        <w:spacing w:after="120" w:before="600" w:line="240" w:lineRule="auto"/>
        <w:ind w:left="540" w:right="567" w:firstLine="0"/>
        <w:jc w:val="both"/>
        <w:rPr>
          <w:rFonts w:ascii="Times New Roman" w:cs="Times New Roman" w:eastAsia="Times New Roman" w:hAnsi="Times New Roman"/>
          <w:color w:val="0f0f0f"/>
          <w:sz w:val="18"/>
          <w:szCs w:val="18"/>
        </w:rPr>
      </w:pPr>
      <w:r w:rsidDel="00000000" w:rsidR="00000000" w:rsidRPr="00000000">
        <w:rPr>
          <w:rFonts w:ascii="Times New Roman" w:cs="Times New Roman" w:eastAsia="Times New Roman" w:hAnsi="Times New Roman"/>
          <w:color w:val="0f0f0f"/>
          <w:sz w:val="18"/>
          <w:szCs w:val="18"/>
          <w:rtl w:val="0"/>
        </w:rPr>
        <w:t xml:space="preserve">Here, we highlight how crucial precise segmentation is to facilitating early detection and guiding treatment choices later on. We recognize the difficulties that come with manual segmentation procedures and explain why automation segmentation techniques are necessary to reduce these difficulties and bring about increased productivity.The central section of the work navigates the complex terrain of cutting-edge algorithms, enabling a thorough investigation of the most recent developments in completely autonomous segmentation techniques. </w:t>
      </w:r>
    </w:p>
    <w:p w:rsidR="00000000" w:rsidDel="00000000" w:rsidP="00000000" w:rsidRDefault="00000000" w:rsidRPr="00000000" w14:paraId="0000000B">
      <w:pPr>
        <w:widowControl w:val="0"/>
        <w:spacing w:after="120" w:before="600" w:line="240" w:lineRule="auto"/>
        <w:ind w:left="540" w:right="567" w:firstLine="0"/>
        <w:jc w:val="both"/>
        <w:rPr>
          <w:rFonts w:ascii="Times New Roman" w:cs="Times New Roman" w:eastAsia="Times New Roman" w:hAnsi="Times New Roman"/>
          <w:color w:val="0f0f0f"/>
          <w:sz w:val="18"/>
          <w:szCs w:val="18"/>
        </w:rPr>
      </w:pPr>
      <w:r w:rsidDel="00000000" w:rsidR="00000000" w:rsidRPr="00000000">
        <w:rPr>
          <w:rFonts w:ascii="Times New Roman" w:cs="Times New Roman" w:eastAsia="Times New Roman" w:hAnsi="Times New Roman"/>
          <w:color w:val="0f0f0f"/>
          <w:sz w:val="18"/>
          <w:szCs w:val="18"/>
          <w:rtl w:val="0"/>
        </w:rPr>
        <w:t xml:space="preserve">This thorough explanation highlights the growing acceptance and increased effectiveness of modern methods while addressing the complexities and difficulties present in the field of brain tumor segmentation.Using specially crafted neural networks, our research is unique in that it concentrates on the paradigm shift toward fully autonomous segmentation. Brain tumor segmentation has been transformed by the incorporation of deep learning techniques, which enable complex pattern recognition and nuanced analysis using medical imaging data. Our efforts have resulted in the creation of a unique neural network model specifically intended for the automated identification of brain malignancies.</w:t>
      </w:r>
    </w:p>
    <w:p w:rsidR="00000000" w:rsidDel="00000000" w:rsidP="00000000" w:rsidRDefault="00000000" w:rsidRPr="00000000" w14:paraId="0000000C">
      <w:pPr>
        <w:widowControl w:val="0"/>
        <w:spacing w:after="120" w:before="600" w:line="240" w:lineRule="auto"/>
        <w:ind w:left="540" w:right="567" w:firstLine="0"/>
        <w:jc w:val="both"/>
        <w:rPr>
          <w:rFonts w:ascii="Times New Roman" w:cs="Times New Roman" w:eastAsia="Times New Roman" w:hAnsi="Times New Roman"/>
          <w:color w:val="0f0f0f"/>
          <w:sz w:val="18"/>
          <w:szCs w:val="18"/>
        </w:rPr>
      </w:pPr>
      <w:r w:rsidDel="00000000" w:rsidR="00000000" w:rsidRPr="00000000">
        <w:rPr>
          <w:rFonts w:ascii="Times New Roman" w:cs="Times New Roman" w:eastAsia="Times New Roman" w:hAnsi="Times New Roman"/>
          <w:color w:val="0f0f0f"/>
          <w:sz w:val="18"/>
          <w:szCs w:val="18"/>
          <w:rtl w:val="0"/>
        </w:rPr>
        <w:t xml:space="preserve">The talk highlights how deep learning techniques can have a revolutionary effect, and it ends with the creation of a sophisticated custom neural network model. Our model demonstrates its ability to accurately and automatically detect brain tumor boundaries by achieving a remarkable level of accuracy.</w:t>
      </w:r>
    </w:p>
    <w:p w:rsidR="00000000" w:rsidDel="00000000" w:rsidP="00000000" w:rsidRDefault="00000000" w:rsidRPr="00000000" w14:paraId="0000000D">
      <w:pPr>
        <w:widowControl w:val="0"/>
        <w:spacing w:after="120" w:before="600" w:line="240" w:lineRule="auto"/>
        <w:ind w:left="540" w:right="56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Keywords: </w:t>
      </w:r>
      <w:r w:rsidDel="00000000" w:rsidR="00000000" w:rsidRPr="00000000">
        <w:rPr>
          <w:rFonts w:ascii="Times New Roman" w:cs="Times New Roman" w:eastAsia="Times New Roman" w:hAnsi="Times New Roman"/>
          <w:sz w:val="18"/>
          <w:szCs w:val="18"/>
          <w:rtl w:val="0"/>
        </w:rPr>
        <w:t xml:space="preserve">Brain Tumor, Image Analysis, Deep Learning, Classification,  Early Diagnosis.</w:t>
      </w:r>
    </w:p>
    <w:p w:rsidR="00000000" w:rsidDel="00000000" w:rsidP="00000000" w:rsidRDefault="00000000" w:rsidRPr="00000000" w14:paraId="0000000E">
      <w:pPr>
        <w:widowControl w:val="0"/>
        <w:tabs>
          <w:tab w:val="left" w:leader="none" w:pos="567"/>
        </w:tabs>
        <w:spacing w:after="280" w:before="520" w:line="240" w:lineRule="auto"/>
        <w:ind w:left="3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    1. Introduction </w:t>
      </w:r>
      <w:r w:rsidDel="00000000" w:rsidR="00000000" w:rsidRPr="00000000">
        <w:rPr>
          <w:rtl w:val="0"/>
        </w:rPr>
      </w:r>
    </w:p>
    <w:p w:rsidR="00000000" w:rsidDel="00000000" w:rsidP="00000000" w:rsidRDefault="00000000" w:rsidRPr="00000000" w14:paraId="0000000F">
      <w:pPr>
        <w:widowControl w:val="0"/>
        <w:spacing w:line="240" w:lineRule="auto"/>
        <w:ind w:left="540" w:right="540" w:firstLine="0"/>
        <w:jc w:val="both"/>
        <w:rPr>
          <w:rFonts w:ascii="Times New Roman" w:cs="Times New Roman" w:eastAsia="Times New Roman" w:hAnsi="Times New Roman"/>
          <w:color w:val="374151"/>
          <w:sz w:val="18"/>
          <w:szCs w:val="18"/>
        </w:rPr>
      </w:pPr>
      <w:r w:rsidDel="00000000" w:rsidR="00000000" w:rsidRPr="00000000">
        <w:rPr>
          <w:rFonts w:ascii="Times New Roman" w:cs="Times New Roman" w:eastAsia="Times New Roman" w:hAnsi="Times New Roman"/>
          <w:color w:val="374151"/>
          <w:sz w:val="18"/>
          <w:szCs w:val="18"/>
          <w:rtl w:val="0"/>
        </w:rPr>
        <w:t xml:space="preserve">In order to preserve healthy tissues while harming and eliminating malignant cells during the therapy, the tumor must be segmented prior to the application of any treatments. Brain tumor segmentation is the procedure of identifying, defining, and dividing normal brain tissues, such as gray matter (GM), white matter (WM), and CSF, from tissues associated with tumors, such as active cells, necrotic core, and edema. This assignment requires manual annotation and segmentation of a huge number of multimodal MRI images, as is the case in contemporary clinical routines. However, as manual segmentation takes a lot of time, reliable automatic segmentation techniques must be developed in order to offer effective and impartial segmentation.</w:t>
      </w:r>
    </w:p>
    <w:p w:rsidR="00000000" w:rsidDel="00000000" w:rsidP="00000000" w:rsidRDefault="00000000" w:rsidRPr="00000000" w14:paraId="00000010">
      <w:pPr>
        <w:widowControl w:val="0"/>
        <w:spacing w:line="240" w:lineRule="auto"/>
        <w:ind w:left="540" w:right="540" w:firstLine="0"/>
        <w:jc w:val="both"/>
        <w:rPr>
          <w:rFonts w:ascii="Times New Roman" w:cs="Times New Roman" w:eastAsia="Times New Roman" w:hAnsi="Times New Roman"/>
          <w:color w:val="374151"/>
          <w:sz w:val="18"/>
          <w:szCs w:val="18"/>
        </w:rPr>
      </w:pPr>
      <w:r w:rsidDel="00000000" w:rsidR="00000000" w:rsidRPr="00000000">
        <w:rPr>
          <w:rtl w:val="0"/>
        </w:rPr>
      </w:r>
    </w:p>
    <w:p w:rsidR="00000000" w:rsidDel="00000000" w:rsidP="00000000" w:rsidRDefault="00000000" w:rsidRPr="00000000" w14:paraId="00000011">
      <w:pPr>
        <w:widowControl w:val="0"/>
        <w:spacing w:line="240" w:lineRule="auto"/>
        <w:ind w:left="540" w:right="540" w:firstLine="0"/>
        <w:jc w:val="both"/>
        <w:rPr>
          <w:rFonts w:ascii="Times New Roman" w:cs="Times New Roman" w:eastAsia="Times New Roman" w:hAnsi="Times New Roman"/>
          <w:color w:val="374151"/>
          <w:sz w:val="18"/>
          <w:szCs w:val="18"/>
        </w:rPr>
      </w:pPr>
      <w:r w:rsidDel="00000000" w:rsidR="00000000" w:rsidRPr="00000000">
        <w:rPr>
          <w:rFonts w:ascii="Times New Roman" w:cs="Times New Roman" w:eastAsia="Times New Roman" w:hAnsi="Times New Roman"/>
          <w:color w:val="374151"/>
          <w:sz w:val="18"/>
          <w:szCs w:val="18"/>
          <w:rtl w:val="0"/>
        </w:rPr>
        <w:t xml:space="preserve">The intrinsic variety in tumor shapes and sizes makes it extremely difficult to segment brain tumors within imaging data. When it comes to segmentation tasks, Deep Neural Networks (DNNs) have demonstrated significant improvements over conventional techniques.Convolutional Neural Networks (CNNs) are utilized in our methodology to accomplish the challenging task of brain tumor segmentation.CNNs, a subclass of DNNs, create a hierarchy of ever more complex features by alternating between using trainable filters and local neighborhood pooling operations on raw input images.These networks record extremely nonlinear mappings between inputs and outputs through numerous intermediate layers incorporating convolution, pooling, normalizing, and other operations.</w:t>
      </w:r>
    </w:p>
    <w:p w:rsidR="00000000" w:rsidDel="00000000" w:rsidP="00000000" w:rsidRDefault="00000000" w:rsidRPr="00000000" w14:paraId="00000012">
      <w:pPr>
        <w:widowControl w:val="0"/>
        <w:spacing w:line="240" w:lineRule="auto"/>
        <w:ind w:left="540" w:right="540" w:firstLine="0"/>
        <w:jc w:val="both"/>
        <w:rPr>
          <w:rFonts w:ascii="Times New Roman" w:cs="Times New Roman" w:eastAsia="Times New Roman" w:hAnsi="Times New Roman"/>
          <w:color w:val="374151"/>
          <w:sz w:val="18"/>
          <w:szCs w:val="18"/>
        </w:rPr>
      </w:pPr>
      <w:r w:rsidDel="00000000" w:rsidR="00000000" w:rsidRPr="00000000">
        <w:rPr>
          <w:rtl w:val="0"/>
        </w:rPr>
      </w:r>
    </w:p>
    <w:p w:rsidR="00000000" w:rsidDel="00000000" w:rsidP="00000000" w:rsidRDefault="00000000" w:rsidRPr="00000000" w14:paraId="00000013">
      <w:pPr>
        <w:widowControl w:val="0"/>
        <w:spacing w:line="240" w:lineRule="auto"/>
        <w:ind w:left="540" w:right="540" w:firstLine="0"/>
        <w:jc w:val="both"/>
        <w:rPr>
          <w:rFonts w:ascii="Times New Roman" w:cs="Times New Roman" w:eastAsia="Times New Roman" w:hAnsi="Times New Roman"/>
          <w:color w:val="374151"/>
          <w:sz w:val="18"/>
          <w:szCs w:val="18"/>
        </w:rPr>
      </w:pPr>
      <w:r w:rsidDel="00000000" w:rsidR="00000000" w:rsidRPr="00000000">
        <w:rPr>
          <w:rFonts w:ascii="Times New Roman" w:cs="Times New Roman" w:eastAsia="Times New Roman" w:hAnsi="Times New Roman"/>
          <w:color w:val="374151"/>
          <w:sz w:val="18"/>
          <w:szCs w:val="18"/>
          <w:rtl w:val="0"/>
        </w:rPr>
        <w:t xml:space="preserve">A representation for every pixel in that modality is produced by the last hidden layer of every CNN. The representations of these modalities are concatenated and used as features for further analysis to enable thorough feature extraction. Conventional methods in the clinical domain manually annotate and segment large amounts of MRI images. This is a labor-intensive process that has prompted research into effective and impartial automatic segmentation techniques.Using Deep Convolutional Neural Networks (DCNNs), our study achieves a noteworthy accuracy of 96.7%. These Deep Convolutional Neural Networks (DCNNs) effectively handle the categorization and identification of particular tumor classes, such as Glioma, Meningioma, and Pituitary, offering a strong automatic brain tumor segmentation solution. This paper continues with a thorough analysis of brain tumor segmentation techniques, with a focus on deep learning algorithms.</w:t>
      </w:r>
    </w:p>
    <w:p w:rsidR="00000000" w:rsidDel="00000000" w:rsidP="00000000" w:rsidRDefault="00000000" w:rsidRPr="00000000" w14:paraId="00000014">
      <w:pPr>
        <w:widowControl w:val="0"/>
        <w:spacing w:line="240" w:lineRule="auto"/>
        <w:ind w:left="540" w:right="540" w:firstLine="0"/>
        <w:jc w:val="both"/>
        <w:rPr>
          <w:rFonts w:ascii="Times New Roman" w:cs="Times New Roman" w:eastAsia="Times New Roman" w:hAnsi="Times New Roman"/>
          <w:color w:val="374151"/>
          <w:sz w:val="18"/>
          <w:szCs w:val="18"/>
        </w:rPr>
      </w:pPr>
      <w:r w:rsidDel="00000000" w:rsidR="00000000" w:rsidRPr="00000000">
        <w:rPr>
          <w:rtl w:val="0"/>
        </w:rPr>
      </w:r>
    </w:p>
    <w:p w:rsidR="00000000" w:rsidDel="00000000" w:rsidP="00000000" w:rsidRDefault="00000000" w:rsidRPr="00000000" w14:paraId="00000015">
      <w:pPr>
        <w:widowControl w:val="0"/>
        <w:spacing w:line="240" w:lineRule="auto"/>
        <w:ind w:left="540" w:right="540" w:firstLine="0"/>
        <w:jc w:val="both"/>
        <w:rPr>
          <w:rFonts w:ascii="Times New Roman" w:cs="Times New Roman" w:eastAsia="Times New Roman" w:hAnsi="Times New Roman"/>
          <w:color w:val="374151"/>
          <w:sz w:val="18"/>
          <w:szCs w:val="18"/>
        </w:rPr>
      </w:pPr>
      <w:r w:rsidDel="00000000" w:rsidR="00000000" w:rsidRPr="00000000">
        <w:rPr>
          <w:rtl w:val="0"/>
        </w:rPr>
      </w:r>
    </w:p>
    <w:p w:rsidR="00000000" w:rsidDel="00000000" w:rsidP="00000000" w:rsidRDefault="00000000" w:rsidRPr="00000000" w14:paraId="00000016">
      <w:pPr>
        <w:widowControl w:val="0"/>
        <w:spacing w:line="240" w:lineRule="auto"/>
        <w:ind w:left="540" w:right="54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74151"/>
          <w:sz w:val="18"/>
          <w:szCs w:val="18"/>
          <w:rtl w:val="0"/>
        </w:rPr>
        <w:t xml:space="preserve">The remaining part of the paper is structured as follows: In part 2, we first provide a quick overview of brain tumor picture segmentation techniques. Then, in section 3, we pay particular attention to techniques built on deep learning algorithms, which recently have produced state-of-the-art outcomes. Specifically, we compare the performances and designs of various deep-learning techniques. In conclusion, we evaluate the state-of-the-art at this time and offer suggestions for future research possibilities. </w:t>
      </w:r>
      <w:r w:rsidDel="00000000" w:rsidR="00000000" w:rsidRPr="00000000">
        <w:rPr>
          <w:rtl w:val="0"/>
        </w:rPr>
      </w:r>
    </w:p>
    <w:p w:rsidR="00000000" w:rsidDel="00000000" w:rsidP="00000000" w:rsidRDefault="00000000" w:rsidRPr="00000000" w14:paraId="00000017">
      <w:pPr>
        <w:widowControl w:val="0"/>
        <w:tabs>
          <w:tab w:val="left" w:leader="none" w:pos="567"/>
        </w:tabs>
        <w:spacing w:after="280" w:before="52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3"/>
          <w:szCs w:val="23"/>
          <w:rtl w:val="0"/>
        </w:rPr>
        <w:t xml:space="preserve">2 </w:t>
        <w:tab/>
        <w:t xml:space="preserve">Preparation of Your Paper </w:t>
      </w:r>
      <w:r w:rsidDel="00000000" w:rsidR="00000000" w:rsidRPr="00000000">
        <w:rPr>
          <w:rtl w:val="0"/>
        </w:rPr>
      </w:r>
    </w:p>
    <w:p w:rsidR="00000000" w:rsidDel="00000000" w:rsidP="00000000" w:rsidRDefault="00000000" w:rsidRPr="00000000" w14:paraId="00000018">
      <w:pPr>
        <w:widowControl w:val="0"/>
        <w:tabs>
          <w:tab w:val="left" w:leader="none" w:pos="567"/>
        </w:tabs>
        <w:spacing w:after="2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w:t>
        <w:tab/>
        <w:t xml:space="preserve">Structuring Your Paper </w:t>
      </w: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Affiliations.</w:t>
      </w:r>
      <w:r w:rsidDel="00000000" w:rsidR="00000000" w:rsidRPr="00000000">
        <w:rPr>
          <w:rFonts w:ascii="Times New Roman" w:cs="Times New Roman" w:eastAsia="Times New Roman" w:hAnsi="Times New Roman"/>
          <w:sz w:val="20"/>
          <w:szCs w:val="20"/>
          <w:rtl w:val="0"/>
        </w:rPr>
        <w:t xml:space="preserve"> The affiliated institutions are to be listed directly below the names of the authors. Multiple affiliatons should be marked with superscript arabic numbers, and they should each start on a new line as shown in this document. In addition to the name of your affiliation, we would ask you to give the town and the country in which it is situated. Do not include the entire postal address. E-mail addresses should start on a new line and should be grouped per affiliation. </w:t>
      </w:r>
    </w:p>
    <w:p w:rsidR="00000000" w:rsidDel="00000000" w:rsidP="00000000" w:rsidRDefault="00000000" w:rsidRPr="00000000" w14:paraId="0000001A">
      <w:pPr>
        <w:widowControl w:val="0"/>
        <w:spacing w:before="3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Headings. </w:t>
      </w:r>
      <w:r w:rsidDel="00000000" w:rsidR="00000000" w:rsidRPr="00000000">
        <w:rPr>
          <w:rFonts w:ascii="Times New Roman" w:cs="Times New Roman" w:eastAsia="Times New Roman" w:hAnsi="Times New Roman"/>
          <w:sz w:val="20"/>
          <w:szCs w:val="20"/>
          <w:rtl w:val="0"/>
        </w:rPr>
        <w:t xml:space="preserve">Headings should be capitalized (i.e., nouns, verbs, and all other words except articles, prepositions, and conjunctions should be set with an initial capital) and should, with the exception of the title, be aligned to the left. Only the first two levels of section headings should be numbered, as shown in Table 1. The respective font sizes are also given in Table 1. Kindly refrain from using “0” when numbering your section headings.</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120" w:line="240" w:lineRule="auto"/>
        <w:ind w:left="8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Table 1.</w:t>
      </w:r>
      <w:r w:rsidDel="00000000" w:rsidR="00000000" w:rsidRPr="00000000">
        <w:rPr>
          <w:rFonts w:ascii="Times New Roman" w:cs="Times New Roman" w:eastAsia="Times New Roman" w:hAnsi="Times New Roman"/>
          <w:sz w:val="18"/>
          <w:szCs w:val="18"/>
          <w:rtl w:val="0"/>
        </w:rPr>
        <w:t xml:space="preserve"> Font sizes of headings. Table captions should always be positioned </w:t>
      </w:r>
      <w:r w:rsidDel="00000000" w:rsidR="00000000" w:rsidRPr="00000000">
        <w:rPr>
          <w:rFonts w:ascii="Times New Roman" w:cs="Times New Roman" w:eastAsia="Times New Roman" w:hAnsi="Times New Roman"/>
          <w:i w:val="1"/>
          <w:sz w:val="18"/>
          <w:szCs w:val="18"/>
          <w:rtl w:val="0"/>
        </w:rPr>
        <w:t xml:space="preserve">above</w:t>
      </w:r>
      <w:r w:rsidDel="00000000" w:rsidR="00000000" w:rsidRPr="00000000">
        <w:rPr>
          <w:rFonts w:ascii="Times New Roman" w:cs="Times New Roman" w:eastAsia="Times New Roman" w:hAnsi="Times New Roman"/>
          <w:sz w:val="18"/>
          <w:szCs w:val="18"/>
          <w:rtl w:val="0"/>
        </w:rPr>
        <w:t xml:space="preserve"> the tables. </w:t>
      </w:r>
    </w:p>
    <w:tbl>
      <w:tblPr>
        <w:tblStyle w:val="Table1"/>
        <w:tblW w:w="7054.0" w:type="dxa"/>
        <w:jc w:val="left"/>
        <w:tblInd w:w="-108.0" w:type="dxa"/>
        <w:tblBorders>
          <w:top w:color="000000" w:space="0" w:sz="12" w:val="single"/>
          <w:bottom w:color="000000" w:space="0" w:sz="12" w:val="single"/>
        </w:tblBorders>
        <w:tblLayout w:type="fixed"/>
        <w:tblLook w:val="0000"/>
      </w:tblPr>
      <w:tblGrid>
        <w:gridCol w:w="1628"/>
        <w:gridCol w:w="3530"/>
        <w:gridCol w:w="1896"/>
        <w:tblGridChange w:id="0">
          <w:tblGrid>
            <w:gridCol w:w="1628"/>
            <w:gridCol w:w="3530"/>
            <w:gridCol w:w="1896"/>
          </w:tblGrid>
        </w:tblGridChange>
      </w:tblGrid>
      <w:tr>
        <w:trPr>
          <w:cantSplit w:val="0"/>
          <w:trHeight w:val="101" w:hRule="atLeast"/>
          <w:tblHeader w:val="0"/>
        </w:trPr>
        <w:tc>
          <w:tcPr>
            <w:tcBorders>
              <w:top w:color="000000" w:space="0" w:sz="12" w:val="single"/>
              <w:bottom w:color="000000" w:space="0" w:sz="4" w:val="single"/>
            </w:tcBorders>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Heading level </w:t>
            </w:r>
          </w:p>
        </w:tc>
        <w:tc>
          <w:tcPr>
            <w:tcBorders>
              <w:top w:color="000000" w:space="0" w:sz="12" w:val="single"/>
              <w:bottom w:color="000000" w:space="0" w:sz="4" w:val="single"/>
            </w:tcBorders>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Example </w:t>
            </w:r>
          </w:p>
        </w:tc>
        <w:tc>
          <w:tcPr>
            <w:tcBorders>
              <w:top w:color="000000" w:space="0" w:sz="12" w:val="single"/>
              <w:bottom w:color="000000" w:space="0" w:sz="4" w:val="single"/>
            </w:tcBorders>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 size and style </w:t>
            </w:r>
          </w:p>
        </w:tc>
      </w:tr>
      <w:tr>
        <w:trPr>
          <w:cantSplit w:val="0"/>
          <w:trHeight w:val="162" w:hRule="atLeast"/>
          <w:tblHeader w:val="0"/>
        </w:trPr>
        <w:tc>
          <w:tcPr>
            <w:tcBorders>
              <w:top w:color="000000" w:space="0" w:sz="4" w:val="single"/>
            </w:tcBorders>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 (centered) </w:t>
            </w:r>
          </w:p>
        </w:tc>
        <w:tc>
          <w:tcPr>
            <w:tcBorders>
              <w:top w:color="000000" w:space="0" w:sz="4" w:val="single"/>
            </w:tcBorders>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Lecture Notes </w:t>
            </w:r>
            <w:r w:rsidDel="00000000" w:rsidR="00000000" w:rsidRPr="00000000">
              <w:rPr>
                <w:rtl w:val="0"/>
              </w:rPr>
            </w:r>
          </w:p>
        </w:tc>
        <w:tc>
          <w:tcPr>
            <w:tcBorders>
              <w:top w:color="000000" w:space="0" w:sz="4" w:val="single"/>
            </w:tcBorders>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point, bold </w:t>
            </w:r>
          </w:p>
        </w:tc>
      </w:tr>
      <w:tr>
        <w:trPr>
          <w:cantSplit w:val="0"/>
          <w:trHeight w:val="148" w:hRule="atLeast"/>
          <w:tblHeader w:val="0"/>
        </w:trPr>
        <w:tc>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2"/>
                <w:szCs w:val="12"/>
                <w:rtl w:val="0"/>
              </w:rPr>
              <w:t xml:space="preserve">st</w:t>
            </w:r>
            <w:r w:rsidDel="00000000" w:rsidR="00000000" w:rsidRPr="00000000">
              <w:rPr>
                <w:rFonts w:ascii="Times New Roman" w:cs="Times New Roman" w:eastAsia="Times New Roman" w:hAnsi="Times New Roman"/>
                <w:sz w:val="18"/>
                <w:szCs w:val="18"/>
                <w:rtl w:val="0"/>
              </w:rPr>
              <w:t xml:space="preserve">-level heading </w:t>
            </w:r>
          </w:p>
        </w:tc>
        <w:tc>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1 Introduction </w:t>
            </w:r>
            <w:r w:rsidDel="00000000" w:rsidR="00000000" w:rsidRPr="00000000">
              <w:rPr>
                <w:rtl w:val="0"/>
              </w:rPr>
            </w:r>
          </w:p>
        </w:tc>
        <w:tc>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point, bold </w:t>
            </w:r>
          </w:p>
        </w:tc>
      </w:tr>
      <w:tr>
        <w:trPr>
          <w:cantSplit w:val="0"/>
          <w:trHeight w:val="143" w:hRule="atLeast"/>
          <w:tblHeader w:val="0"/>
        </w:trPr>
        <w:tc>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2"/>
                <w:szCs w:val="12"/>
                <w:rtl w:val="0"/>
              </w:rPr>
              <w:t xml:space="preserve">nd</w:t>
            </w:r>
            <w:r w:rsidDel="00000000" w:rsidR="00000000" w:rsidRPr="00000000">
              <w:rPr>
                <w:rFonts w:ascii="Times New Roman" w:cs="Times New Roman" w:eastAsia="Times New Roman" w:hAnsi="Times New Roman"/>
                <w:sz w:val="18"/>
                <w:szCs w:val="18"/>
                <w:rtl w:val="0"/>
              </w:rPr>
              <w:t xml:space="preserve">-level heading </w:t>
            </w:r>
          </w:p>
        </w:tc>
        <w:tc>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Printing Area </w:t>
            </w:r>
            <w:r w:rsidDel="00000000" w:rsidR="00000000" w:rsidRPr="00000000">
              <w:rPr>
                <w:rtl w:val="0"/>
              </w:rPr>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 bold </w:t>
            </w:r>
          </w:p>
        </w:tc>
      </w:tr>
      <w:tr>
        <w:trPr>
          <w:cantSplit w:val="0"/>
          <w:trHeight w:val="141" w:hRule="atLeast"/>
          <w:tblHeader w:val="0"/>
        </w:trPr>
        <w:tc>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Fonts w:ascii="Times New Roman" w:cs="Times New Roman" w:eastAsia="Times New Roman" w:hAnsi="Times New Roman"/>
                <w:sz w:val="12"/>
                <w:szCs w:val="12"/>
                <w:rtl w:val="0"/>
              </w:rPr>
              <w:t xml:space="preserve">rd</w:t>
            </w:r>
            <w:r w:rsidDel="00000000" w:rsidR="00000000" w:rsidRPr="00000000">
              <w:rPr>
                <w:rFonts w:ascii="Times New Roman" w:cs="Times New Roman" w:eastAsia="Times New Roman" w:hAnsi="Times New Roman"/>
                <w:sz w:val="18"/>
                <w:szCs w:val="18"/>
                <w:rtl w:val="0"/>
              </w:rPr>
              <w:t xml:space="preserve">-level heading </w:t>
            </w:r>
          </w:p>
        </w:tc>
        <w:tc>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Run-in Heading in Bold.</w:t>
            </w:r>
            <w:r w:rsidDel="00000000" w:rsidR="00000000" w:rsidRPr="00000000">
              <w:rPr>
                <w:rFonts w:ascii="Times New Roman" w:cs="Times New Roman" w:eastAsia="Times New Roman" w:hAnsi="Times New Roman"/>
                <w:sz w:val="20"/>
                <w:szCs w:val="20"/>
                <w:rtl w:val="0"/>
              </w:rPr>
              <w:t xml:space="preserve"> Text follows </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 bold </w:t>
            </w:r>
          </w:p>
        </w:tc>
      </w:tr>
      <w:tr>
        <w:trPr>
          <w:cantSplit w:val="0"/>
          <w:trHeight w:val="126" w:hRule="atLeast"/>
          <w:tblHeader w:val="0"/>
        </w:trPr>
        <w:tc>
          <w:tcPr>
            <w:tcBorders>
              <w:bottom w:color="000000" w:space="0" w:sz="12" w:val="single"/>
            </w:tcBorders>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18"/>
                <w:szCs w:val="18"/>
                <w:rtl w:val="0"/>
              </w:rPr>
              <w:t xml:space="preserve">-level heading </w:t>
            </w:r>
          </w:p>
        </w:tc>
        <w:tc>
          <w:tcPr>
            <w:tcBorders>
              <w:bottom w:color="000000" w:space="0" w:sz="12" w:val="single"/>
            </w:tcBorders>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Lowest Level Heading.</w:t>
            </w:r>
            <w:r w:rsidDel="00000000" w:rsidR="00000000" w:rsidRPr="00000000">
              <w:rPr>
                <w:rFonts w:ascii="Times New Roman" w:cs="Times New Roman" w:eastAsia="Times New Roman" w:hAnsi="Times New Roman"/>
                <w:sz w:val="20"/>
                <w:szCs w:val="20"/>
                <w:rtl w:val="0"/>
              </w:rPr>
              <w:t xml:space="preserve"> Text follows </w:t>
            </w:r>
          </w:p>
        </w:tc>
        <w:tc>
          <w:tcPr>
            <w:tcBorders>
              <w:bottom w:color="000000" w:space="0" w:sz="12" w:val="single"/>
            </w:tcBorders>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 italic </w:t>
            </w:r>
          </w:p>
        </w:tc>
      </w:tr>
    </w:tbl>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Words joined by a hyphen are subject to a special rule. If the first word can stand alone, the second word should be capitalized. </w:t>
      </w:r>
    </w:p>
    <w:p w:rsidR="00000000" w:rsidDel="00000000" w:rsidP="00000000" w:rsidRDefault="00000000" w:rsidRPr="00000000" w14:paraId="00000031">
      <w:pPr>
        <w:widowControl w:val="0"/>
        <w:spacing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some examples of headings: “Criteria to Disprove Context-Freeness of Collage Languages”, “On Correcting the Intrusion of Tracing Non-deterministic Programs by Software”, “A User-Friendly and Extendable Data Distribution System”, “Multi-flip Networks: Parallelizing GenSAT”, “Self-determinations of Man”.  </w:t>
      </w:r>
    </w:p>
    <w:p w:rsidR="00000000" w:rsidDel="00000000" w:rsidP="00000000" w:rsidRDefault="00000000" w:rsidRPr="00000000" w14:paraId="00000032">
      <w:pPr>
        <w:widowControl w:val="0"/>
        <w:spacing w:before="3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Lemmas, Propositions, and Theorems. </w:t>
      </w:r>
      <w:r w:rsidDel="00000000" w:rsidR="00000000" w:rsidRPr="00000000">
        <w:rPr>
          <w:rFonts w:ascii="Times New Roman" w:cs="Times New Roman" w:eastAsia="Times New Roman" w:hAnsi="Times New Roman"/>
          <w:sz w:val="20"/>
          <w:szCs w:val="20"/>
          <w:rtl w:val="0"/>
        </w:rPr>
        <w:t xml:space="preserve">The numbers accorded to lemmas, propositions, and theorems, etc. should appear in consecutive order, starting with Lemma 1. Please do not include section counters in the numbering like “Theorem 1.1”. </w:t>
      </w:r>
    </w:p>
    <w:p w:rsidR="00000000" w:rsidDel="00000000" w:rsidP="00000000" w:rsidRDefault="00000000" w:rsidRPr="00000000" w14:paraId="00000033">
      <w:pPr>
        <w:widowControl w:val="0"/>
        <w:tabs>
          <w:tab w:val="left" w:leader="none" w:pos="567"/>
        </w:tabs>
        <w:spacing w:after="220"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w:t>
        <w:tab/>
        <w:t xml:space="preserve">Page Numbering and Running Heads </w:t>
      </w:r>
      <w:r w:rsidDel="00000000" w:rsidR="00000000" w:rsidRPr="00000000">
        <w:rPr>
          <w:rtl w:val="0"/>
        </w:rPr>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need to include page numbers or running heads; this will be done at our end. If your paper title is too long to serve as a running head, it will be shortened. Your suggestion as to how to shorten it would be most welcome. </w:t>
      </w:r>
    </w:p>
    <w:p w:rsidR="00000000" w:rsidDel="00000000" w:rsidP="00000000" w:rsidRDefault="00000000" w:rsidRPr="00000000" w14:paraId="00000035">
      <w:pPr>
        <w:pageBreakBefore w:val="1"/>
        <w:widowControl w:val="0"/>
        <w:tabs>
          <w:tab w:val="left" w:leader="none" w:pos="567"/>
        </w:tabs>
        <w:spacing w:after="220"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2.3 </w:t>
        <w:tab/>
        <w:t xml:space="preserve">Figures and Tables </w:t>
      </w:r>
      <w:r w:rsidDel="00000000" w:rsidR="00000000" w:rsidRPr="00000000">
        <w:rPr>
          <w:rtl w:val="0"/>
        </w:rPr>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essential that all illustrations are as clear and as legible as possible. Vector graphics – instead of rasterized images – should be used for diagrams and schemas whenever possible. Please check that the lines in line drawings are not interrupted and have a constant width. Grids and details within the figures must be clearly legible and may not be written one on top of the other. Line drawings are to have a resolution of at least 800 dpi (preferably 1200 dpi). The lettering in figures should not use font sizes smaller than 6 pt (~ 2 mm character height). Figures are to be numbered and to have a caption which should always be positioned </w:t>
      </w:r>
      <w:r w:rsidDel="00000000" w:rsidR="00000000" w:rsidRPr="00000000">
        <w:rPr>
          <w:rFonts w:ascii="Times New Roman" w:cs="Times New Roman" w:eastAsia="Times New Roman" w:hAnsi="Times New Roman"/>
          <w:i w:val="1"/>
          <w:sz w:val="20"/>
          <w:szCs w:val="20"/>
          <w:rtl w:val="0"/>
        </w:rPr>
        <w:t xml:space="preserve">under</w:t>
      </w:r>
      <w:r w:rsidDel="00000000" w:rsidR="00000000" w:rsidRPr="00000000">
        <w:rPr>
          <w:rFonts w:ascii="Times New Roman" w:cs="Times New Roman" w:eastAsia="Times New Roman" w:hAnsi="Times New Roman"/>
          <w:sz w:val="20"/>
          <w:szCs w:val="20"/>
          <w:rtl w:val="0"/>
        </w:rPr>
        <w:t xml:space="preserve"> the figures, in contrast to the caption belonging to a table, which should always appear </w:t>
      </w:r>
      <w:r w:rsidDel="00000000" w:rsidR="00000000" w:rsidRPr="00000000">
        <w:rPr>
          <w:rFonts w:ascii="Times New Roman" w:cs="Times New Roman" w:eastAsia="Times New Roman" w:hAnsi="Times New Roman"/>
          <w:i w:val="1"/>
          <w:sz w:val="20"/>
          <w:szCs w:val="20"/>
          <w:rtl w:val="0"/>
        </w:rPr>
        <w:t xml:space="preserve">above</w:t>
      </w:r>
      <w:r w:rsidDel="00000000" w:rsidR="00000000" w:rsidRPr="00000000">
        <w:rPr>
          <w:rFonts w:ascii="Times New Roman" w:cs="Times New Roman" w:eastAsia="Times New Roman" w:hAnsi="Times New Roman"/>
          <w:sz w:val="20"/>
          <w:szCs w:val="20"/>
          <w:rtl w:val="0"/>
        </w:rPr>
        <w:t xml:space="preserve"> the table.  </w:t>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Pr>
        <w:drawing>
          <wp:inline distB="0" distT="0" distL="0" distR="0">
            <wp:extent cx="3343275" cy="2552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432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1.</w:t>
      </w:r>
      <w:r w:rsidDel="00000000" w:rsidR="00000000" w:rsidRPr="00000000">
        <w:rPr>
          <w:rFonts w:ascii="Times New Roman" w:cs="Times New Roman" w:eastAsia="Times New Roman" w:hAnsi="Times New Roman"/>
          <w:sz w:val="18"/>
          <w:szCs w:val="18"/>
          <w:rtl w:val="0"/>
        </w:rPr>
        <w:t xml:space="preserve"> Artifacts empowered by Artificial Intelligence (Source: LNCS 5640, p. 115) </w:t>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Captions are set in 9-point type. If they are short, they are centered between the margins. Longer captions, covering more than one line, are justified. Captions that do not constitute a full sentence, do not have a period. </w:t>
      </w:r>
    </w:p>
    <w:p w:rsidR="00000000" w:rsidDel="00000000" w:rsidP="00000000" w:rsidRDefault="00000000" w:rsidRPr="00000000" w14:paraId="0000003E">
      <w:pPr>
        <w:widowControl w:val="0"/>
        <w:spacing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fragments of fewer than four lines should not appear at the tops or bottoms of pages, following a table or figure. In such cases, it is better to set the figures right at the top or right at the bottom of the page. A figure should never be placed in the middle of a paragraph.  </w:t>
      </w:r>
    </w:p>
    <w:p w:rsidR="00000000" w:rsidDel="00000000" w:rsidP="00000000" w:rsidRDefault="00000000" w:rsidRPr="00000000" w14:paraId="0000003F">
      <w:pPr>
        <w:widowControl w:val="0"/>
        <w:spacing w:after="120"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screenshots are necessary, please make sure that the essential content is clear to the reader.  </w:t>
      </w:r>
    </w:p>
    <w:p w:rsidR="00000000" w:rsidDel="00000000" w:rsidP="00000000" w:rsidRDefault="00000000" w:rsidRPr="00000000" w14:paraId="00000040">
      <w:pPr>
        <w:widowControl w:val="0"/>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Remark 1. </w:t>
      </w:r>
      <w:r w:rsidDel="00000000" w:rsidR="00000000" w:rsidRPr="00000000">
        <w:rPr>
          <w:rFonts w:ascii="Times New Roman" w:cs="Times New Roman" w:eastAsia="Times New Roman" w:hAnsi="Times New Roman"/>
          <w:sz w:val="20"/>
          <w:szCs w:val="20"/>
          <w:rtl w:val="0"/>
        </w:rPr>
        <w:t xml:space="preserve">In the printed volumes, illustrations are generally black and white (halftones), and only in exceptional cases, and if the author or the conference organization is prepared to cover the extra costs involved, are colored pictures accepted. Colored pictures are welcome in the electronic version free of charge. If you send colored figures that are to be printed in black and white, please make sure that they really are also legible in black and white. Some colors show up very poorly when printed in black and white.  </w:t>
      </w:r>
    </w:p>
    <w:p w:rsidR="00000000" w:rsidDel="00000000" w:rsidP="00000000" w:rsidRDefault="00000000" w:rsidRPr="00000000" w14:paraId="00000041">
      <w:pPr>
        <w:widowControl w:val="0"/>
        <w:tabs>
          <w:tab w:val="left" w:leader="none" w:pos="567"/>
        </w:tabs>
        <w:spacing w:after="219"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2.4 </w:t>
        <w:tab/>
        <w:t xml:space="preserve">Formulas </w:t>
      </w:r>
      <w:r w:rsidDel="00000000" w:rsidR="00000000" w:rsidRPr="00000000">
        <w:rPr>
          <w:rtl w:val="0"/>
        </w:rPr>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Displayed equations or formulas are centered and set on a separate line (with an extra line or half line space above and below). Displayed expressions should be numbered for reference. The numbers should be consecutive within the contribution, with numbers enclosed in parentheses and set on the right margin. Please do not include section counters in the numbering.</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widowControl w:val="0"/>
        <w:spacing w:line="240" w:lineRule="auto"/>
        <w:ind w:left="294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x</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sz w:val="20"/>
          <w:szCs w:val="20"/>
          <w:rtl w:val="0"/>
        </w:rPr>
        <w:t xml:space="preserve"> (1) </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Equations should be punctuated in the same way as ordinary text but with a small space before the end punctuation mark. </w:t>
      </w:r>
    </w:p>
    <w:p w:rsidR="00000000" w:rsidDel="00000000" w:rsidP="00000000" w:rsidRDefault="00000000" w:rsidRPr="00000000" w14:paraId="00000047">
      <w:pPr>
        <w:widowControl w:val="0"/>
        <w:tabs>
          <w:tab w:val="left" w:leader="none" w:pos="567"/>
        </w:tabs>
        <w:spacing w:after="220"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 </w:t>
        <w:tab/>
        <w:t xml:space="preserve">Pre-trained DL models </w:t>
      </w:r>
      <w:r w:rsidDel="00000000" w:rsidR="00000000" w:rsidRPr="00000000">
        <w:rPr>
          <w:rtl w:val="0"/>
        </w:rPr>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color w:val="0f0f0f"/>
          <w:sz w:val="18"/>
          <w:szCs w:val="18"/>
        </w:rPr>
      </w:pPr>
      <w:r w:rsidDel="00000000" w:rsidR="00000000" w:rsidRPr="00000000">
        <w:rPr>
          <w:rFonts w:ascii="Times New Roman" w:cs="Times New Roman" w:eastAsia="Times New Roman" w:hAnsi="Times New Roman"/>
          <w:color w:val="0f0f0f"/>
          <w:sz w:val="18"/>
          <w:szCs w:val="18"/>
          <w:rtl w:val="0"/>
        </w:rPr>
        <w:t xml:space="preserve">We employ diverse deep learning (DL) models pre-trained on the extensive ImageNet dataset[*]. In the context of limited data in medical image analysis, leveraging pre-trained models becomes pivotal for performance enhancement. Transfer learning facilitates the transfer of learned knowledge from DL models trained on large datasets to domain-specific, smaller datasets. Uniform customization and data preprocessing approaches are applied across all pre-trained models. Our selection comprises 13 pre-trained models, with a detailed discussion of each DL model provided in the subsequent section.</w:t>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color w:val="0f0f0f"/>
          <w:sz w:val="18"/>
          <w:szCs w:val="18"/>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VGG</w:t>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0f0f0f"/>
          <w:sz w:val="18"/>
          <w:szCs w:val="18"/>
          <w:rtl w:val="0"/>
        </w:rPr>
        <w:t xml:space="preserve">The VGG (Visual Geometry Group) model is a deep convolutional neural network architecture designed for image classification. Proposed by the Visual Geometry Group at the University of Oxford, the VGG model gained prominence for its simplicity and remarkable performance in various computer vision tasks. It was introduced in the paper titled "Very Deep Convolutional Networks for Large-Scale Image Recognition" by Simonyan and Zisserman in 2014. One of the key features of the VGG model is its uniform architecture, where the convolutional layers have a consistent 3x3 kernel size and a stride of 1. The network's depth is increased by stacking multiple convolutional layers, leading to the creation of deeper models (e.g., VGG16 and VGG19). This architecture's simplicity and regularity make it easy to understand and implement. The VGG model excels in capturing complex hierarchical features from images, and its deep structure allows it to learn intricate representations, making it well-suited for image classification tasks. While VGG has been surpassed by more recent architectures in terms of computational efficiency, it remains a foundational model in the history of deep learning, contributing significantly to the development and understanding of deep convolutional neural networks. </w:t>
      </w:r>
      <w:r w:rsidDel="00000000" w:rsidR="00000000" w:rsidRPr="00000000">
        <w:rPr>
          <w:rtl w:val="0"/>
        </w:rPr>
      </w:r>
    </w:p>
    <w:p w:rsidR="00000000" w:rsidDel="00000000" w:rsidP="00000000" w:rsidRDefault="00000000" w:rsidRPr="00000000" w14:paraId="0000004D">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ResNet</w:t>
      </w:r>
    </w:p>
    <w:p w:rsidR="00000000" w:rsidDel="00000000" w:rsidP="00000000" w:rsidRDefault="00000000" w:rsidRPr="00000000" w14:paraId="0000004E">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color w:val="0f0f0f"/>
          <w:sz w:val="18"/>
          <w:szCs w:val="18"/>
        </w:rPr>
      </w:pPr>
      <w:r w:rsidDel="00000000" w:rsidR="00000000" w:rsidRPr="00000000">
        <w:rPr>
          <w:rFonts w:ascii="Times New Roman" w:cs="Times New Roman" w:eastAsia="Times New Roman" w:hAnsi="Times New Roman"/>
          <w:color w:val="0f0f0f"/>
          <w:sz w:val="18"/>
          <w:szCs w:val="18"/>
          <w:rtl w:val="0"/>
        </w:rPr>
        <w:t xml:space="preserve">ResNet-18, a condensed variant of the Residual Networks (ResNet) architecture, stands out as a significant solution devised to mitigate the vanishing gradient problem by incorporating residual connections. In a pivotal paper "Deep Residual Learning for Image Recognition" (2016), ResNet-18 is composed of 18 layers, upholding the crucial characteristics of the original residual block structure. This streamlined version strategically preserves skip connections, an innovative element that enables the direct flow of information across layers. This strategic retention of skip connections, while simplifying the model in comparison to larger ResNet counterparts, plays a pivotal role in facilitating the efficient training of deeper neural networks, effectively addressing the degradation challenges inherent in deep architectures.ResNet-18 serves as a pragmatic and resource-efficient option, maintaining the fundamental advantages of the original ResNet architecture. Its applicability to image classification tasks remains evident, especially in environments where computational resources are limited. This positions ResNet-18 as a compelling choice for applications where achieving a balance between model performance and computational efficiency is paramount.</w:t>
      </w:r>
    </w:p>
    <w:p w:rsidR="00000000" w:rsidDel="00000000" w:rsidP="00000000" w:rsidRDefault="00000000" w:rsidRPr="00000000" w14:paraId="0000004F">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Inception-V3</w:t>
      </w:r>
    </w:p>
    <w:p w:rsidR="00000000" w:rsidDel="00000000" w:rsidP="00000000" w:rsidRDefault="00000000" w:rsidRPr="00000000" w14:paraId="00000050">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color w:val="0f0f0f"/>
          <w:sz w:val="18"/>
          <w:szCs w:val="18"/>
        </w:rPr>
      </w:pPr>
      <w:r w:rsidDel="00000000" w:rsidR="00000000" w:rsidRPr="00000000">
        <w:rPr>
          <w:rFonts w:ascii="Times New Roman" w:cs="Times New Roman" w:eastAsia="Times New Roman" w:hAnsi="Times New Roman"/>
          <w:color w:val="0f0f0f"/>
          <w:sz w:val="18"/>
          <w:szCs w:val="18"/>
          <w:rtl w:val="0"/>
        </w:rPr>
        <w:t xml:space="preserve">Inception V3, crafted by Google for image classification, employs inventive inception modules featuring parallel convolutional operations with various filter sizes to capture a broad range of features. Unveiled in 2016, this model refines earlier Inception architectures by integrating batch normalization and factorized convolutions, enhancing stability and training efficiency. Renowned for its adept equilibrium between computational efficiency and accuracy, Inception V3 finds widespread application in diverse computer vision tasks.</w:t>
      </w:r>
    </w:p>
    <w:p w:rsidR="00000000" w:rsidDel="00000000" w:rsidP="00000000" w:rsidRDefault="00000000" w:rsidRPr="00000000" w14:paraId="00000051">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InceptionResNet</w:t>
      </w:r>
    </w:p>
    <w:p w:rsidR="00000000" w:rsidDel="00000000" w:rsidP="00000000" w:rsidRDefault="00000000" w:rsidRPr="00000000" w14:paraId="00000052">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0f0f0f"/>
          <w:sz w:val="18"/>
          <w:szCs w:val="18"/>
          <w:rtl w:val="0"/>
        </w:rPr>
        <w:t xml:space="preserve">InceptionResNet, introduced in 2017, is a neural network hybrid merging attributes from Google's Inception and ResNet models. By integrating residual connections, it optimizes information flow during training, facilitating the efficient training of deeper networks. Leveraging inception modules for multi-scale feature extraction, InceptionResNet demonstrates outstanding performance in image classification across diverse benchmarks</w:t>
      </w:r>
      <w:r w:rsidDel="00000000" w:rsidR="00000000" w:rsidRPr="00000000">
        <w:rPr>
          <w:rtl w:val="0"/>
        </w:rPr>
      </w:r>
    </w:p>
    <w:p w:rsidR="00000000" w:rsidDel="00000000" w:rsidP="00000000" w:rsidRDefault="00000000" w:rsidRPr="00000000" w14:paraId="00000053">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Xception</w:t>
      </w:r>
    </w:p>
    <w:p w:rsidR="00000000" w:rsidDel="00000000" w:rsidP="00000000" w:rsidRDefault="00000000" w:rsidRPr="00000000" w14:paraId="00000054">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color w:val="0f0f0f"/>
          <w:sz w:val="12"/>
          <w:szCs w:val="12"/>
        </w:rPr>
      </w:pPr>
      <w:r w:rsidDel="00000000" w:rsidR="00000000" w:rsidRPr="00000000">
        <w:rPr>
          <w:rFonts w:ascii="Times New Roman" w:cs="Times New Roman" w:eastAsia="Times New Roman" w:hAnsi="Times New Roman"/>
          <w:color w:val="0f0f0f"/>
          <w:sz w:val="18"/>
          <w:szCs w:val="18"/>
          <w:rtl w:val="0"/>
        </w:rPr>
        <w:t xml:space="preserve">Xception, a neural network framework tailored for effective image classification, employs depthwise separable convolutions to optimize computational efficiency without compromising performance. Developed by François Chollet in 2017, Xception draws inspiration from the Inception architecture but distinguishes itself through a more streamlined design, rendering it well-suited for applications constrained by limited computational resources.</w:t>
      </w:r>
      <w:r w:rsidDel="00000000" w:rsidR="00000000" w:rsidRPr="00000000">
        <w:rPr>
          <w:rtl w:val="0"/>
        </w:rPr>
      </w:r>
    </w:p>
    <w:p w:rsidR="00000000" w:rsidDel="00000000" w:rsidP="00000000" w:rsidRDefault="00000000" w:rsidRPr="00000000" w14:paraId="00000055">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MobileNetV2</w:t>
      </w:r>
    </w:p>
    <w:p w:rsidR="00000000" w:rsidDel="00000000" w:rsidP="00000000" w:rsidRDefault="00000000" w:rsidRPr="00000000" w14:paraId="00000056">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0f0f0f"/>
          <w:sz w:val="18"/>
          <w:szCs w:val="18"/>
          <w:rtl w:val="0"/>
        </w:rPr>
        <w:t xml:space="preserve">MobileNetV2, an iteration advancing the initial MobileNet architecture, optimizes efficiency for mobile and edge devices. Unveiled in 2018, it incorporates inverted residuals, linear bottlenecks, and shortcut connections to enhance feature extraction and computational efficiency. The integration of global average pooling at the conclusion enhances its compact design, solidifying MobileNetV2 as the preferred choice for real-time applications on devices with constrained computational resources.</w:t>
      </w:r>
      <w:r w:rsidDel="00000000" w:rsidR="00000000" w:rsidRPr="00000000">
        <w:rPr>
          <w:rtl w:val="0"/>
        </w:rPr>
      </w:r>
    </w:p>
    <w:p w:rsidR="00000000" w:rsidDel="00000000" w:rsidP="00000000" w:rsidRDefault="00000000" w:rsidRPr="00000000" w14:paraId="00000057">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DenseNet</w:t>
      </w:r>
    </w:p>
    <w:p w:rsidR="00000000" w:rsidDel="00000000" w:rsidP="00000000" w:rsidRDefault="00000000" w:rsidRPr="00000000" w14:paraId="00000058">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9">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EfficientNet</w:t>
      </w:r>
    </w:p>
    <w:p w:rsidR="00000000" w:rsidDel="00000000" w:rsidP="00000000" w:rsidRDefault="00000000" w:rsidRPr="00000000" w14:paraId="0000005A">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color w:val="0f0f0f"/>
          <w:sz w:val="18"/>
          <w:szCs w:val="18"/>
        </w:rPr>
      </w:pPr>
      <w:r w:rsidDel="00000000" w:rsidR="00000000" w:rsidRPr="00000000">
        <w:rPr>
          <w:rtl w:val="0"/>
        </w:rPr>
      </w:r>
    </w:p>
    <w:p w:rsidR="00000000" w:rsidDel="00000000" w:rsidP="00000000" w:rsidRDefault="00000000" w:rsidRPr="00000000" w14:paraId="0000005B">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widowControl w:val="0"/>
        <w:tabs>
          <w:tab w:val="left" w:leader="none" w:pos="567"/>
        </w:tabs>
        <w:spacing w:after="220"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 </w:t>
        <w:tab/>
        <w:t xml:space="preserve">Citations and Bibliography </w:t>
      </w:r>
      <w:r w:rsidDel="00000000" w:rsidR="00000000" w:rsidRPr="00000000">
        <w:rPr>
          <w:rtl w:val="0"/>
        </w:rPr>
      </w:r>
    </w:p>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citations in the text, use square brackets and consecutive numbers. Numbers should be grouped where appropriate. We would write [1-5] but [1], [3], [5], etc. The numbers in the bibliography section are without square brackets. Page numbers are required for quotations. Page numbers should be indicated in square bracets [5, p.26].</w:t>
      </w:r>
    </w:p>
    <w:p w:rsidR="00000000" w:rsidDel="00000000" w:rsidP="00000000" w:rsidRDefault="00000000" w:rsidRPr="00000000" w14:paraId="00000060">
      <w:pPr>
        <w:widowControl w:val="0"/>
        <w:spacing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write all references using the latin alphabet. If the title of the book you are referring to is, e.g., in Russian or Chinese, then please write (in Russian) or (in Chinese) at the end of the transcript or translation of the title. </w:t>
      </w:r>
    </w:p>
    <w:p w:rsidR="00000000" w:rsidDel="00000000" w:rsidP="00000000" w:rsidRDefault="00000000" w:rsidRPr="00000000" w14:paraId="00000061">
      <w:pPr>
        <w:widowControl w:val="0"/>
        <w:spacing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base your references on the examples given in the references section of these instructions. References that do not adhere to this style will need to be reformatted. </w:t>
      </w:r>
    </w:p>
    <w:p w:rsidR="00000000" w:rsidDel="00000000" w:rsidP="00000000" w:rsidRDefault="00000000" w:rsidRPr="00000000" w14:paraId="00000062">
      <w:pPr>
        <w:widowControl w:val="0"/>
        <w:spacing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make sure that all your sources are correctly listed in the reference section. Do not include references to pieces of work that are not connected with your paper. </w:t>
      </w:r>
    </w:p>
    <w:p w:rsidR="00000000" w:rsidDel="00000000" w:rsidP="00000000" w:rsidRDefault="00000000" w:rsidRPr="00000000" w14:paraId="00000063">
      <w:pPr>
        <w:widowControl w:val="0"/>
        <w:spacing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references section at the end of this paper shows a sample reference list with entries for journal articles [1], an CCIS chapter [2], a book [3], proceedings without editors [4] and [5], as well as a URL [6]. Please note that Springer proceedings are cited with their publication acronyms and volume numbers. </w:t>
      </w:r>
    </w:p>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is a list of the general rules to be followed:</w:t>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Italics or bold face are not to be used.</w:t>
      </w:r>
    </w:p>
    <w:p w:rsidR="00000000" w:rsidDel="00000000" w:rsidP="00000000" w:rsidRDefault="00000000" w:rsidRPr="00000000" w14:paraId="00000068">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Authors’ and editors’ names are to be structured as follows: “Surname, Initials</w:t>
      </w:r>
    </w:p>
    <w:p w:rsidR="00000000" w:rsidDel="00000000" w:rsidP="00000000" w:rsidRDefault="00000000" w:rsidRPr="00000000" w14:paraId="00000069">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of First Names”.</w:t>
      </w:r>
    </w:p>
    <w:p w:rsidR="00000000" w:rsidDel="00000000" w:rsidP="00000000" w:rsidRDefault="00000000" w:rsidRPr="00000000" w14:paraId="0000006A">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A colon is to be inserted between the authors’ names and the title. </w:t>
      </w:r>
    </w:p>
    <w:p w:rsidR="00000000" w:rsidDel="00000000" w:rsidP="00000000" w:rsidRDefault="00000000" w:rsidRPr="00000000" w14:paraId="0000006B">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The title should be followed by a period, unless page numbers are to be included, in which case the period follows the page numbers.</w:t>
      </w:r>
    </w:p>
    <w:p w:rsidR="00000000" w:rsidDel="00000000" w:rsidP="00000000" w:rsidRDefault="00000000" w:rsidRPr="00000000" w14:paraId="0000006C">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All words except articles, prepositions, and conjunctions should be set with an initial capital.</w:t>
      </w:r>
    </w:p>
    <w:p w:rsidR="00000000" w:rsidDel="00000000" w:rsidP="00000000" w:rsidRDefault="00000000" w:rsidRPr="00000000" w14:paraId="0000006D">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The abbreviations (ed.) or (eds.) should follow the Editors’ names.</w:t>
      </w:r>
    </w:p>
    <w:p w:rsidR="00000000" w:rsidDel="00000000" w:rsidP="00000000" w:rsidRDefault="00000000" w:rsidRPr="00000000" w14:paraId="0000006E">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If a contribution from an edited volume is being cited, then the authors’ names and the title of the paper are given first. This is followed by “In:” and then the details of the book, as shown in reference list.</w:t>
      </w:r>
    </w:p>
    <w:p w:rsidR="00000000" w:rsidDel="00000000" w:rsidP="00000000" w:rsidRDefault="00000000" w:rsidRPr="00000000" w14:paraId="0000006F">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The abbreviation pp. should be used for page numbers in books, whereas page numbers in journals should be given without pp.</w:t>
      </w:r>
    </w:p>
    <w:p w:rsidR="00000000" w:rsidDel="00000000" w:rsidP="00000000" w:rsidRDefault="00000000" w:rsidRPr="00000000" w14:paraId="00000070">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The volume number of a book in a series should be given as vol. xxx, where xxx is the volume number. It should be separated from the name/abbreviation of the series by a comma. The volume number of a journal should appear directly after the title of the journal. The issue number should appear directly next to it in brackets.</w:t>
      </w:r>
    </w:p>
    <w:p w:rsidR="00000000" w:rsidDel="00000000" w:rsidP="00000000" w:rsidRDefault="00000000" w:rsidRPr="00000000" w14:paraId="00000071">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The name and town of the publisher, separated by a comma, should appear before the copyright year.</w:t>
      </w:r>
    </w:p>
    <w:p w:rsidR="00000000" w:rsidDel="00000000" w:rsidP="00000000" w:rsidRDefault="00000000" w:rsidRPr="00000000" w14:paraId="00000072">
      <w:pPr>
        <w:numPr>
          <w:ilvl w:val="0"/>
          <w:numId w:val="1"/>
        </w:numPr>
        <w:spacing w:line="240" w:lineRule="auto"/>
        <w:ind w:left="284"/>
        <w:jc w:val="both"/>
      </w:pPr>
      <w:r w:rsidDel="00000000" w:rsidR="00000000" w:rsidRPr="00000000">
        <w:rPr>
          <w:rFonts w:ascii="Times New Roman" w:cs="Times New Roman" w:eastAsia="Times New Roman" w:hAnsi="Times New Roman"/>
          <w:sz w:val="20"/>
          <w:szCs w:val="20"/>
          <w:rtl w:val="0"/>
        </w:rPr>
        <w:t xml:space="preserve">The copyright year should be given at the end, in brackets. If non-standard publications (e.g., technical reports) also require a month, then this should be included between the brackets, as should the appendages (to be published) or (to appear).</w:t>
      </w:r>
    </w:p>
    <w:p w:rsidR="00000000" w:rsidDel="00000000" w:rsidP="00000000" w:rsidRDefault="00000000" w:rsidRPr="00000000" w14:paraId="00000073">
      <w:pPr>
        <w:widowControl w:val="0"/>
        <w:tabs>
          <w:tab w:val="left" w:leader="none" w:pos="567"/>
        </w:tabs>
        <w:spacing w:after="220"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2.7 </w:t>
        <w:tab/>
        <w:t xml:space="preserve">Plagiarism </w:t>
      </w:r>
      <w:r w:rsidDel="00000000" w:rsidR="00000000" w:rsidRPr="00000000">
        <w:rPr>
          <w:rtl w:val="0"/>
        </w:rPr>
      </w:r>
    </w:p>
    <w:p w:rsidR="00000000" w:rsidDel="00000000" w:rsidP="00000000" w:rsidRDefault="00000000" w:rsidRPr="00000000" w14:paraId="00000074">
      <w:pPr>
        <w:widowControl w:val="0"/>
        <w:spacing w:after="245"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Springer takes plagiarism seriously. If an author has copied from another author or has used parts of another author’s work, without his or her permission and a reference, then the paper on SpringerLink will be given a “retracted” stamp, and an erratum explaining the reasons for the retraction will be included. In addition, the volume editors and the author’s academic supervisors will be informed. </w:t>
      </w:r>
    </w:p>
    <w:p w:rsidR="00000000" w:rsidDel="00000000" w:rsidP="00000000" w:rsidRDefault="00000000" w:rsidRPr="00000000" w14:paraId="00000075">
      <w:pPr>
        <w:widowControl w:val="0"/>
        <w:spacing w:before="3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Acknowledgements. </w:t>
      </w:r>
      <w:r w:rsidDel="00000000" w:rsidR="00000000" w:rsidRPr="00000000">
        <w:rPr>
          <w:rFonts w:ascii="Times New Roman" w:cs="Times New Roman" w:eastAsia="Times New Roman" w:hAnsi="Times New Roman"/>
          <w:sz w:val="20"/>
          <w:szCs w:val="20"/>
          <w:rtl w:val="0"/>
        </w:rPr>
        <w:t xml:space="preserve">This should always be a run-in heading and not a section or subsection heading. It should not be assigned a number. The acknowledgements may include reference to grants or supports received in relation to the work presented in the paper. </w:t>
      </w:r>
    </w:p>
    <w:p w:rsidR="00000000" w:rsidDel="00000000" w:rsidP="00000000" w:rsidRDefault="00000000" w:rsidRPr="00000000" w14:paraId="00000076">
      <w:pPr>
        <w:widowControl w:val="0"/>
        <w:tabs>
          <w:tab w:val="left" w:leader="none" w:pos="567"/>
        </w:tabs>
        <w:spacing w:after="280" w:before="5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3 </w:t>
        <w:tab/>
        <w:t xml:space="preserve">Additional Information Required from Authors </w:t>
      </w:r>
      <w:r w:rsidDel="00000000" w:rsidR="00000000" w:rsidRPr="00000000">
        <w:rPr>
          <w:rtl w:val="0"/>
        </w:rPr>
      </w:r>
    </w:p>
    <w:p w:rsidR="00000000" w:rsidDel="00000000" w:rsidP="00000000" w:rsidRDefault="00000000" w:rsidRPr="00000000" w14:paraId="00000077">
      <w:pPr>
        <w:widowControl w:val="0"/>
        <w:tabs>
          <w:tab w:val="left" w:leader="none" w:pos="567"/>
        </w:tabs>
        <w:spacing w:after="2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w:t>
        <w:tab/>
        <w:t xml:space="preserve">Copyright Form </w:t>
      </w:r>
      <w:r w:rsidDel="00000000" w:rsidR="00000000" w:rsidRPr="00000000">
        <w:rPr>
          <w:rtl w:val="0"/>
        </w:rPr>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prefilled copyright form will be provided by volume editors. Please send your signed copyright form to volume editors as a scanned PDF. One author may sign on behalf of all of the other authors of a particular paper. In this case, the author signs for and accepts responsibility for releasing this material on behalf of any and all co-authors. Digital signatures are not acceptable. </w:t>
      </w:r>
    </w:p>
    <w:p w:rsidR="00000000" w:rsidDel="00000000" w:rsidP="00000000" w:rsidRDefault="00000000" w:rsidRPr="00000000" w14:paraId="00000079">
      <w:pPr>
        <w:widowControl w:val="0"/>
        <w:tabs>
          <w:tab w:val="left" w:leader="none" w:pos="567"/>
        </w:tabs>
        <w:spacing w:after="220"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 </w:t>
        <w:tab/>
        <w:t xml:space="preserve">Contact Author Information </w:t>
      </w:r>
      <w:r w:rsidDel="00000000" w:rsidR="00000000" w:rsidRPr="00000000">
        <w:rPr>
          <w:rtl w:val="0"/>
        </w:rPr>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Kindly assure that, when you submit the final version of your paper, you also provide the name and e-mail address of the contact author for your paper. The contact author must be available to check the paper roughly before the book is due to leave the printing office. He or she will be contacted from the following e-mail address: </w:t>
      </w:r>
      <w:r w:rsidDel="00000000" w:rsidR="00000000" w:rsidRPr="00000000">
        <w:rPr>
          <w:rFonts w:ascii="Courier" w:cs="Courier" w:eastAsia="Courier" w:hAnsi="Courier"/>
          <w:sz w:val="20"/>
          <w:szCs w:val="20"/>
          <w:rtl w:val="0"/>
        </w:rPr>
        <w:t xml:space="preserve">typesetting@sps.co.in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widowControl w:val="0"/>
        <w:tabs>
          <w:tab w:val="left" w:leader="none" w:pos="567"/>
        </w:tabs>
        <w:spacing w:after="220"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 </w:t>
        <w:tab/>
        <w:t xml:space="preserve">Correct Representation of Author Names </w:t>
      </w:r>
      <w:r w:rsidDel="00000000" w:rsidR="00000000" w:rsidRPr="00000000">
        <w:rPr>
          <w:rtl w:val="0"/>
        </w:rPr>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Authors’ names should be written out in full at the tops of the papers. They are shortened by us to “initials surname” in the running heads and will take the form “surname, given name” in the author index. If you or any of your co-authors have more than one family name, it should be made quite clear how your name is to be displayed in the running heads and the author index. Chinese authors should write their given names in front of their surnames at the tops of their papers. If you only have one (main) name, please make sure that this name is written out in full in the running heads, when you check your final PDF. </w:t>
      </w:r>
    </w:p>
    <w:p w:rsidR="00000000" w:rsidDel="00000000" w:rsidP="00000000" w:rsidRDefault="00000000" w:rsidRPr="00000000" w14:paraId="0000007D">
      <w:pPr>
        <w:widowControl w:val="0"/>
        <w:tabs>
          <w:tab w:val="left" w:leader="none" w:pos="567"/>
        </w:tabs>
        <w:spacing w:after="280" w:before="5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4 </w:t>
        <w:tab/>
        <w:t xml:space="preserve">Typesetting of Your Paper at Springer </w:t>
      </w:r>
      <w:r w:rsidDel="00000000" w:rsidR="00000000" w:rsidRPr="00000000">
        <w:rPr>
          <w:rtl w:val="0"/>
        </w:rPr>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make sure that the paper you submit is final and complete, that any copyright issues have been resolved, that the authors listed at the top of the chapter really are the final authors, and that you have not omitted any references. Following publication, it is not possible to alter your paper on SpringerLink. Kindly note that we prefer the use of American English. </w:t>
      </w:r>
    </w:p>
    <w:p w:rsidR="00000000" w:rsidDel="00000000" w:rsidP="00000000" w:rsidRDefault="00000000" w:rsidRPr="00000000" w14:paraId="0000007F">
      <w:pPr>
        <w:widowControl w:val="0"/>
        <w:tabs>
          <w:tab w:val="left" w:leader="none" w:pos="567"/>
        </w:tabs>
        <w:spacing w:after="220"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 </w:t>
        <w:tab/>
        <w:t xml:space="preserve">What Will Be Done with Your Paper </w:t>
      </w: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instructions have been followed closely, then only very minor alterations will be made to your paper. The production team at SPS checks the format of the paper, and if, for example, vertical spacing has been inserted or removed, making the paper unsightly or difficult to read, then this is remedied. In addition, running-heads, final page numbers and a copyright line are inserted, and the capitalization of the headings is checked and corrected if need be. Finally, the reference section is attuned to our specifications (see also Section 2.7).  </w:t>
      </w:r>
    </w:p>
    <w:p w:rsidR="00000000" w:rsidDel="00000000" w:rsidP="00000000" w:rsidRDefault="00000000" w:rsidRPr="00000000" w14:paraId="00000081">
      <w:pPr>
        <w:widowControl w:val="0"/>
        <w:tabs>
          <w:tab w:val="left" w:leader="none" w:pos="567"/>
        </w:tabs>
        <w:spacing w:after="220" w:before="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 </w:t>
        <w:tab/>
        <w:t xml:space="preserve">Proof Reading Stage </w:t>
      </w:r>
      <w:r w:rsidDel="00000000" w:rsidR="00000000" w:rsidRPr="00000000">
        <w:rPr>
          <w:rtl w:val="0"/>
        </w:rPr>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the files have been worked upon, SPS sends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 which is not possible due to time constraints. Only errors introduced during the preparation of the files will be corrected. Particular attention should be paid to the references section. </w:t>
      </w:r>
    </w:p>
    <w:p w:rsidR="00000000" w:rsidDel="00000000" w:rsidP="00000000" w:rsidRDefault="00000000" w:rsidRPr="00000000" w14:paraId="00000083">
      <w:pPr>
        <w:widowControl w:val="0"/>
        <w:spacing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SPS does not receive a reply from a particular contact author, within the time-frame given (usually 72 hours), then it is presumed that the author has found no errors in the paper. The tight publication schedule of our proceedings series does not allow SPS to send reminders or search for alternative e-mail addresses on the Internet. </w:t>
      </w:r>
    </w:p>
    <w:p w:rsidR="00000000" w:rsidDel="00000000" w:rsidP="00000000" w:rsidRDefault="00000000" w:rsidRPr="00000000" w14:paraId="00000084">
      <w:pPr>
        <w:widowControl w:val="0"/>
        <w:spacing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some cases, it is the contact volume editor or the publication chair who checks all of the PDFs. In such cases, the authors are not involved in the checking phase. </w:t>
      </w:r>
    </w:p>
    <w:p w:rsidR="00000000" w:rsidDel="00000000" w:rsidP="00000000" w:rsidRDefault="00000000" w:rsidRPr="00000000" w14:paraId="00000085">
      <w:pPr>
        <w:widowControl w:val="0"/>
        <w:spacing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the proof is to check for typesetting or conversion errors and the completeness and accuracy of the text, tables and figures. Substantial changes in content, e.g., new results, corrected values, title and authorship, are not possible and cannot be processed. </w:t>
      </w:r>
    </w:p>
    <w:p w:rsidR="00000000" w:rsidDel="00000000" w:rsidP="00000000" w:rsidRDefault="00000000" w:rsidRPr="00000000" w14:paraId="00000086">
      <w:pPr>
        <w:widowControl w:val="0"/>
        <w:tabs>
          <w:tab w:val="left" w:leader="none" w:pos="567"/>
        </w:tabs>
        <w:spacing w:after="280" w:before="5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5 </w:t>
        <w:tab/>
        <w:t xml:space="preserve">Online Publication in SpringerLink </w:t>
      </w:r>
      <w:r w:rsidDel="00000000" w:rsidR="00000000" w:rsidRPr="00000000">
        <w:rPr>
          <w:rtl w:val="0"/>
        </w:rPr>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papers will be published in our digital library </w:t>
      </w:r>
      <w:r w:rsidDel="00000000" w:rsidR="00000000" w:rsidRPr="00000000">
        <w:rPr>
          <w:rFonts w:ascii="Courier New" w:cs="Courier New" w:eastAsia="Courier New" w:hAnsi="Courier New"/>
          <w:sz w:val="20"/>
          <w:szCs w:val="20"/>
          <w:rtl w:val="0"/>
        </w:rPr>
        <w:t xml:space="preserve">www.springerlink.com</w:t>
      </w:r>
      <w:r w:rsidDel="00000000" w:rsidR="00000000" w:rsidRPr="00000000">
        <w:rPr>
          <w:rFonts w:ascii="Times New Roman" w:cs="Times New Roman" w:eastAsia="Times New Roman" w:hAnsi="Times New Roman"/>
          <w:sz w:val="20"/>
          <w:szCs w:val="20"/>
          <w:rtl w:val="0"/>
        </w:rPr>
        <w:t xml:space="preserve">. Only subscribers to Springer’s eBook packages or to the electronic book series are able to access the full text PDFs and references of our online publications. Meta-data, abstracts and author e-mail addresses are freely available for all users. </w:t>
      </w:r>
    </w:p>
    <w:p w:rsidR="00000000" w:rsidDel="00000000" w:rsidP="00000000" w:rsidRDefault="00000000" w:rsidRPr="00000000" w14:paraId="00000088">
      <w:pPr>
        <w:widowControl w:val="0"/>
        <w:spacing w:after="280" w:before="5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References </w:t>
      </w:r>
      <w:r w:rsidDel="00000000" w:rsidR="00000000" w:rsidRPr="00000000">
        <w:rPr>
          <w:rtl w:val="0"/>
        </w:rPr>
      </w:r>
    </w:p>
    <w:p w:rsidR="00000000" w:rsidDel="00000000" w:rsidP="00000000" w:rsidRDefault="00000000" w:rsidRPr="00000000" w14:paraId="00000089">
      <w:pPr>
        <w:widowControl w:val="0"/>
        <w:numPr>
          <w:ilvl w:val="0"/>
          <w:numId w:val="2"/>
        </w:numPr>
        <w:spacing w:line="240" w:lineRule="auto"/>
        <w:ind w:left="28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Smith, T.F., Waterman, M.S.: Identification of Common Molecular Subsequences. J. Mol. Biol. 147, 195–197 (1981)  </w:t>
      </w:r>
    </w:p>
    <w:p w:rsidR="00000000" w:rsidDel="00000000" w:rsidP="00000000" w:rsidRDefault="00000000" w:rsidRPr="00000000" w14:paraId="0000008A">
      <w:pPr>
        <w:widowControl w:val="0"/>
        <w:numPr>
          <w:ilvl w:val="0"/>
          <w:numId w:val="2"/>
        </w:numPr>
        <w:spacing w:line="240" w:lineRule="auto"/>
        <w:ind w:left="28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May, P., Ehrlich, H.C., Steinke, T.: ZIB Structure Prediction Pipeline: Composing a Complex Biological Workflow through Web Services. In: Nagel, W.E., Walter, W.V., Lehner, W. (eds.) Euro-Par 2006. LNCS, vol. 4128, pp. 1148–1158. Springer, Heidelberg (2006)</w:t>
      </w:r>
    </w:p>
    <w:p w:rsidR="00000000" w:rsidDel="00000000" w:rsidP="00000000" w:rsidRDefault="00000000" w:rsidRPr="00000000" w14:paraId="0000008B">
      <w:pPr>
        <w:widowControl w:val="0"/>
        <w:numPr>
          <w:ilvl w:val="0"/>
          <w:numId w:val="2"/>
        </w:numPr>
        <w:spacing w:line="240" w:lineRule="auto"/>
        <w:ind w:left="28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Foster, I., Kesselman, C.: The Grid: Blueprint for a New Computing Infrastructure. Morgan Kaufmann, San Francisco (1999) </w:t>
      </w:r>
    </w:p>
    <w:p w:rsidR="00000000" w:rsidDel="00000000" w:rsidP="00000000" w:rsidRDefault="00000000" w:rsidRPr="00000000" w14:paraId="0000008C">
      <w:pPr>
        <w:widowControl w:val="0"/>
        <w:numPr>
          <w:ilvl w:val="0"/>
          <w:numId w:val="2"/>
        </w:numPr>
        <w:spacing w:line="240" w:lineRule="auto"/>
        <w:ind w:left="28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Czajkowski, K., Fitzgerald, S., Foster, I., Kesselman, C.: Grid Information Services for Distributed Resource Sharing. In: 10th IEEE International Symposium on High Performance Distributed Computing, pp. 181–184. IEEE Press, New York (2001) </w:t>
      </w:r>
    </w:p>
    <w:p w:rsidR="00000000" w:rsidDel="00000000" w:rsidP="00000000" w:rsidRDefault="00000000" w:rsidRPr="00000000" w14:paraId="0000008D">
      <w:pPr>
        <w:widowControl w:val="0"/>
        <w:numPr>
          <w:ilvl w:val="0"/>
          <w:numId w:val="2"/>
        </w:numPr>
        <w:spacing w:line="240" w:lineRule="auto"/>
        <w:ind w:left="28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Foster, I., Kesselman, C., Nick, J., Tuecke, S.: The Physiology of the Grid: an Open Grid Services Architecture for Distributed Systems Integration. Technical report, Global Grid Forum (2002) </w:t>
      </w:r>
    </w:p>
    <w:p w:rsidR="00000000" w:rsidDel="00000000" w:rsidP="00000000" w:rsidRDefault="00000000" w:rsidRPr="00000000" w14:paraId="0000008E">
      <w:pPr>
        <w:widowControl w:val="0"/>
        <w:numPr>
          <w:ilvl w:val="0"/>
          <w:numId w:val="2"/>
        </w:numPr>
        <w:spacing w:line="240" w:lineRule="auto"/>
        <w:ind w:left="28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National Center for Biotechnology Information, </w:t>
      </w:r>
      <w:r w:rsidDel="00000000" w:rsidR="00000000" w:rsidRPr="00000000">
        <w:rPr>
          <w:rFonts w:ascii="Courier" w:cs="Courier" w:eastAsia="Courier" w:hAnsi="Courier"/>
          <w:sz w:val="18"/>
          <w:szCs w:val="18"/>
          <w:rtl w:val="0"/>
        </w:rPr>
        <w:t xml:space="preserve">http://www.ncbi.nlm.nih.gov </w:t>
      </w:r>
      <w:r w:rsidDel="00000000" w:rsidR="00000000" w:rsidRPr="00000000">
        <w:rPr>
          <w:rtl w:val="0"/>
        </w:rPr>
      </w:r>
    </w:p>
    <w:p w:rsidR="00000000" w:rsidDel="00000000" w:rsidP="00000000" w:rsidRDefault="00000000" w:rsidRPr="00000000" w14:paraId="0000008F">
      <w:pPr>
        <w:widowControl w:val="0"/>
        <w:spacing w:line="240" w:lineRule="auto"/>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90">
      <w:pPr>
        <w:spacing w:after="200" w:line="276"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