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p>
            <w:pPr>
              <w:spacing w:before="3600"/>
            </w:pPr>
          </w:p>
          <w:p>
            <w:pPr>
              <w:spacing w:after="100" w:before="800" w:line="736" w:lineRule="atLeast"/>
              <w:ind w:left="1200"/>
              <w:jc w:val="left"/>
            </w:pPr>
            <w:r>
              <w:rPr>
                <w:rFonts w:ascii="Times New Roman"/>
                <w:b/>
                <w:bCs/>
                <w:color w:val="1284BA"/>
                <w:sz w:val="64"/>
                <w:szCs w:val="64"/>
              </w:rPr>
              <w:t xml:space="preserve">Textile Engineering</w:t>
            </w:r>
          </w:p>
          <w:p>
            <w:pPr>
              <w:spacing w:after="100" w:line="736" w:lineRule="atLeast"/>
              <w:ind w:left="1200"/>
              <w:jc w:val="left"/>
            </w:pPr>
            <w:r>
              <w:rPr>
                <w:rFonts w:ascii="Times New Roman"/>
                <w:b/>
                <w:bCs/>
                <w:color w:val="1284BA"/>
                <w:sz w:val="64"/>
                <w:szCs w:val="64"/>
              </w:rPr>
              <w:t xml:space="preserve">Research Intelligence</w:t>
            </w:r>
          </w:p>
          <w:p>
            <w:pPr>
              <w:spacing w:after="400" w:line="736" w:lineRule="atLeast"/>
              <w:ind w:left="1200"/>
              <w:jc w:val="left"/>
            </w:pPr>
            <w:r>
              <w:rPr>
                <w:rFonts w:ascii="Times New Roman"/>
                <w:b/>
                <w:bCs/>
                <w:color w:val="1284BA"/>
                <w:sz w:val="64"/>
                <w:szCs w:val="64"/>
              </w:rPr>
              <w:t xml:space="preserve">Report 2026</w:t>
            </w:r>
          </w:p>
          <w:p>
            <w:pPr>
              <w:pBdr>
                <w:top w:val="single" w:color="FF862F" w:sz="12" w:space="20"/>
              </w:pBdr>
              <w:ind w:left="1200" w:right="1200"/>
            </w:pPr>
          </w:p>
          <w:p>
            <w:pPr>
              <w:spacing w:after="100" w:before="300" w:line="400"/>
              <w:ind w:left="1200"/>
              <w:jc w:val="left"/>
            </w:pPr>
            <w:r>
              <w:rPr>
                <w:rFonts w:ascii="Times New Roman"/>
                <w:color w:val="606060"/>
                <w:sz w:val="28"/>
                <w:szCs w:val="28"/>
              </w:rPr>
              <w:t xml:space="preserve">Global Trends, Research Gaps, Publication</w:t>
            </w:r>
          </w:p>
          <w:p>
            <w:pPr>
              <w:spacing w:after="400" w:line="400"/>
              <w:ind w:left="1200"/>
              <w:jc w:val="left"/>
            </w:pPr>
            <w:r>
              <w:rPr>
                <w:rFonts w:ascii="Times New Roman"/>
                <w:color w:val="606060"/>
                <w:sz w:val="28"/>
                <w:szCs w:val="28"/>
              </w:rPr>
              <w:t xml:space="preserve">Opportunities &amp; Strategic Recommendations</w:t>
            </w:r>
          </w:p>
          <w:p>
            <w:pPr>
              <w:spacing w:before="1200"/>
            </w:pPr>
          </w:p>
          <w:p>
            <w:pPr>
              <w:spacing w:after="100"/>
              <w:ind w:left="1200"/>
              <w:jc w:val="left"/>
            </w:pPr>
            <w:r>
              <w:rPr>
                <w:rFonts w:ascii="Times New Roman"/>
                <w:color w:val="707070"/>
                <w:sz w:val="22"/>
                <w:szCs w:val="22"/>
              </w:rPr>
              <w:t xml:space="preserve">Comprehensive Analysis of Global Textile Research Landscape</w:t>
            </w:r>
          </w:p>
          <w:p>
            <w:pPr>
              <w:spacing w:after="100"/>
              <w:ind w:left="1200"/>
              <w:jc w:val="left"/>
            </w:pPr>
            <w:r>
              <w:rPr>
                <w:rFonts w:ascii="Times New Roman"/>
                <w:color w:val="707070"/>
                <w:sz w:val="22"/>
                <w:szCs w:val="22"/>
              </w:rPr>
              <w:t xml:space="preserve">Covering Period: 2017 – 2026</w:t>
            </w:r>
          </w:p>
          <w:p>
            <w:pPr>
              <w:spacing w:after="100"/>
              <w:ind w:left="1200"/>
              <w:jc w:val="left"/>
            </w:pPr>
            <w:r>
              <w:rPr>
                <w:rFonts w:ascii="Times New Roman"/>
                <w:color w:val="707070"/>
                <w:sz w:val="22"/>
                <w:szCs w:val="22"/>
              </w:rPr>
              <w:t xml:space="preserve">Published: March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1284B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Research Trend Analysis (2017-2026)</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Growth Trends Across Major Research Domains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AI and Industry 4.0: The Fastest-Growing Domain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Sustainable Wet Processing and Smart Textiles Surge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Relative Comparison and Shift Patterns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Sustainable Wet Processing &amp; Dyeing</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Supercritical CO2 Dyeing Advances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3.2 Digital Spray Dyeing Technology</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Plasma-Assisted Dyeing and Surface Modification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3.4 Bio-Based Auxiliaries and Natural Dyes</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4. Nanotechnology in Textile Finishing</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4.1 Silver Nanoparticle Antimicrobial Finishing</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4.2 ZnO and TiO2 Nanoparticle Applications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4.3 Green Nano-Finishing Approaches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4.4 Research Gap: Wash Durability of Nano-Coatings</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5. Smart &amp; Functional Textiles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Self-Powered Smart Textiles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Wearable Health Monitoring Fabrics</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5.3 Multi-Functional Coatings and PFAS-Free Finishing</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5.4 Smart Medical Textiles</w:t>
            </w:r>
            <w:r>
              <w:tab/>
            </w:r>
            <w:r>
              <w:fldChar w:fldCharType="begin"/>
            </w:r>
            <w:r>
              <w:instrText xml:space="preserve"> PAGEREF _Toc100020 \h </w:instrText>
            </w:r>
            <w:r>
              <w:fldChar w:fldCharType="separate"/>
            </w:r>
            <w:r>
              <w:t>6</w:t>
            </w:r>
            <w:r>
              <w:fldChar w:fldCharType="end"/>
            </w:r>
          </w:hyperlink>
        </w:p>
        <w:p>
          <w:pPr>
            <w:pStyle w:val="9"/>
            <w:tabs>
              <w:tab w:val="right" w:leader="dot" w:pos="9026"/>
            </w:tabs>
            <w:spacing w:before="120" w:after="60"/>
          </w:pPr>
          <w:hyperlink w:anchor="_Toc100021" w:history="1">
            <w:r>
              <w:rPr>
                <w:rStyle w:val="Hyperlink"/>
              </w:rPr>
              <w:t>6. AI &amp; Industry 4.0 in Textile Manufacturing</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6.1 AI-Driven Dyeing Optimization</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6.2 Deep Learning for Defect Detection</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6.3 Digital Twins for Wet Processing</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6.4 Industry 4.0 Implementation Barriers</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7. Circular Economy &amp; Sustainable Textile Processing</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7.1 Chemical Recycling Breakthroughs</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7.2 EU Regulatory Landscape and Targets</w:t>
            </w:r>
            <w:r>
              <w:tab/>
            </w:r>
            <w:r>
              <w:fldChar w:fldCharType="begin"/>
            </w:r>
            <w:r>
              <w:instrText xml:space="preserve"> PAGEREF _Toc100028 \h </w:instrText>
            </w:r>
            <w:r>
              <w:fldChar w:fldCharType="separate"/>
            </w:r>
            <w:r>
              <w:t>8</w:t>
            </w:r>
            <w:r>
              <w:fldChar w:fldCharType="end"/>
            </w:r>
          </w:hyperlink>
        </w:p>
        <w:p>
          <w:pPr>
            <w:pStyle w:val="11"/>
            <w:ind w:left="360"/>
            <w:tabs>
              <w:tab w:val="right" w:leader="dot" w:pos="9026"/>
            </w:tabs>
            <w:spacing w:before="120" w:after="60"/>
          </w:pPr>
          <w:hyperlink w:anchor="_Toc100029" w:history="1">
            <w:r>
              <w:rPr>
                <w:rStyle w:val="Hyperlink"/>
              </w:rPr>
              <w:t>7.3 Bio-Based and Biodegradable Alternatives</w:t>
            </w:r>
            <w:r>
              <w:tab/>
            </w:r>
            <w:r>
              <w:fldChar w:fldCharType="begin"/>
            </w:r>
            <w:r>
              <w:instrText xml:space="preserve"> PAGEREF _Toc100029 \h </w:instrText>
            </w:r>
            <w:r>
              <w:fldChar w:fldCharType="separate"/>
            </w:r>
            <w:r>
              <w:t>8</w:t>
            </w:r>
            <w:r>
              <w:fldChar w:fldCharType="end"/>
            </w:r>
          </w:hyperlink>
        </w:p>
        <w:p>
          <w:pPr>
            <w:pStyle w:val="9"/>
            <w:tabs>
              <w:tab w:val="right" w:leader="dot" w:pos="9026"/>
            </w:tabs>
            <w:spacing w:before="120" w:after="60"/>
          </w:pPr>
          <w:hyperlink w:anchor="_Toc100030" w:history="1">
            <w:r>
              <w:rPr>
                <w:rStyle w:val="Hyperlink"/>
              </w:rPr>
              <w:t>8. Country-wise Research Analysis</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8.1 China's Dominance in Textile Research</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8.2 Key Research Strengths by Country</w:t>
            </w:r>
            <w:r>
              <w:tab/>
            </w:r>
            <w:r>
              <w:fldChar w:fldCharType="begin"/>
            </w:r>
            <w:r>
              <w:instrText xml:space="preserve"> PAGEREF _Toc100032 \h </w:instrText>
            </w:r>
            <w:r>
              <w:fldChar w:fldCharType="separate"/>
            </w:r>
            <w:r>
              <w:t>9</w:t>
            </w:r>
            <w:r>
              <w:fldChar w:fldCharType="end"/>
            </w:r>
          </w:hyperlink>
        </w:p>
        <w:p>
          <w:pPr>
            <w:pStyle w:val="11"/>
            <w:ind w:left="360"/>
            <w:tabs>
              <w:tab w:val="right" w:leader="dot" w:pos="9026"/>
            </w:tabs>
            <w:spacing w:before="120" w:after="60"/>
          </w:pPr>
          <w:hyperlink w:anchor="_Toc100033" w:history="1">
            <w:r>
              <w:rPr>
                <w:rStyle w:val="Hyperlink"/>
              </w:rPr>
              <w:t>8.3 International Collaboration Patterns</w:t>
            </w:r>
            <w:r>
              <w:tab/>
            </w:r>
            <w:r>
              <w:fldChar w:fldCharType="begin"/>
            </w:r>
            <w:r>
              <w:instrText xml:space="preserve"> PAGEREF _Toc100033 \h </w:instrText>
            </w:r>
            <w:r>
              <w:fldChar w:fldCharType="separate"/>
            </w:r>
            <w:r>
              <w:t>9</w:t>
            </w:r>
            <w:r>
              <w:fldChar w:fldCharType="end"/>
            </w:r>
          </w:hyperlink>
        </w:p>
        <w:p>
          <w:pPr>
            <w:pStyle w:val="11"/>
            <w:ind w:left="360"/>
            <w:tabs>
              <w:tab w:val="right" w:leader="dot" w:pos="9026"/>
            </w:tabs>
            <w:spacing w:before="120" w:after="60"/>
          </w:pPr>
          <w:hyperlink w:anchor="_Toc100034" w:history="1">
            <w:r>
              <w:rPr>
                <w:rStyle w:val="Hyperlink"/>
              </w:rPr>
              <w:t>8.4 Underrepresented Regions</w:t>
            </w:r>
            <w:r>
              <w:tab/>
            </w:r>
            <w:r>
              <w:fldChar w:fldCharType="begin"/>
            </w:r>
            <w:r>
              <w:instrText xml:space="preserve"> PAGEREF _Toc100034 \h </w:instrText>
            </w:r>
            <w:r>
              <w:fldChar w:fldCharType="separate"/>
            </w:r>
            <w:r>
              <w:t>10</w:t>
            </w:r>
            <w:r>
              <w:fldChar w:fldCharType="end"/>
            </w:r>
          </w:hyperlink>
        </w:p>
        <w:p>
          <w:pPr>
            <w:pStyle w:val="9"/>
            <w:tabs>
              <w:tab w:val="right" w:leader="dot" w:pos="9026"/>
            </w:tabs>
            <w:spacing w:before="120" w:after="60"/>
          </w:pPr>
          <w:hyperlink w:anchor="_Toc100035" w:history="1">
            <w:r>
              <w:rPr>
                <w:rStyle w:val="Hyperlink"/>
              </w:rPr>
              <w:t>9. University Rankings &amp; Leading Research Groups</w:t>
            </w:r>
            <w:r>
              <w:tab/>
            </w:r>
            <w:r>
              <w:fldChar w:fldCharType="begin"/>
            </w:r>
            <w:r>
              <w:instrText xml:space="preserve"> PAGEREF _Toc100035 \h </w:instrText>
            </w:r>
            <w:r>
              <w:fldChar w:fldCharType="separate"/>
            </w:r>
            <w:r>
              <w:t>10</w:t>
            </w:r>
            <w:r>
              <w:fldChar w:fldCharType="end"/>
            </w:r>
          </w:hyperlink>
        </w:p>
        <w:p>
          <w:pPr>
            <w:pStyle w:val="11"/>
            <w:ind w:left="360"/>
            <w:tabs>
              <w:tab w:val="right" w:leader="dot" w:pos="9026"/>
            </w:tabs>
            <w:spacing w:before="120" w:after="60"/>
          </w:pPr>
          <w:hyperlink w:anchor="_Toc100036" w:history="1">
            <w:r>
              <w:rPr>
                <w:rStyle w:val="Hyperlink"/>
              </w:rPr>
              <w:t>9.1 Top 15 Global Textile Universities</w:t>
            </w:r>
            <w:r>
              <w:tab/>
            </w:r>
            <w:r>
              <w:fldChar w:fldCharType="begin"/>
            </w:r>
            <w:r>
              <w:instrText xml:space="preserve"> PAGEREF _Toc100036 \h </w:instrText>
            </w:r>
            <w:r>
              <w:fldChar w:fldCharType="separate"/>
            </w:r>
            <w:r>
              <w:t>10</w:t>
            </w:r>
            <w:r>
              <w:fldChar w:fldCharType="end"/>
            </w:r>
          </w:hyperlink>
        </w:p>
        <w:p>
          <w:pPr>
            <w:pStyle w:val="11"/>
            <w:ind w:left="360"/>
            <w:tabs>
              <w:tab w:val="right" w:leader="dot" w:pos="9026"/>
            </w:tabs>
            <w:spacing w:before="120" w:after="60"/>
          </w:pPr>
          <w:hyperlink w:anchor="_Toc100037" w:history="1">
            <w:r>
              <w:rPr>
                <w:rStyle w:val="Hyperlink"/>
              </w:rPr>
              <w:t>9.2 Notable Research Groups and Leading Authors</w:t>
            </w:r>
            <w:r>
              <w:tab/>
            </w:r>
            <w:r>
              <w:fldChar w:fldCharType="begin"/>
            </w:r>
            <w:r>
              <w:instrText xml:space="preserve"> PAGEREF _Toc100037 \h </w:instrText>
            </w:r>
            <w:r>
              <w:fldChar w:fldCharType="separate"/>
            </w:r>
            <w:r>
              <w:t>11</w:t>
            </w:r>
            <w:r>
              <w:fldChar w:fldCharType="end"/>
            </w:r>
          </w:hyperlink>
        </w:p>
        <w:p>
          <w:pPr>
            <w:pStyle w:val="9"/>
            <w:tabs>
              <w:tab w:val="right" w:leader="dot" w:pos="9026"/>
            </w:tabs>
            <w:spacing w:before="120" w:after="60"/>
          </w:pPr>
          <w:hyperlink w:anchor="_Toc100038" w:history="1">
            <w:r>
              <w:rPr>
                <w:rStyle w:val="Hyperlink"/>
              </w:rPr>
              <w:t>10. Journal Analysis &amp; Publication Strategy</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10.1 Impact Factor Ranking of Key Journals</w:t>
            </w:r>
            <w:r>
              <w:tab/>
            </w:r>
            <w:r>
              <w:fldChar w:fldCharType="begin"/>
            </w:r>
            <w:r>
              <w:instrText xml:space="preserve"> PAGEREF _Toc100039 \h </w:instrText>
            </w:r>
            <w:r>
              <w:fldChar w:fldCharType="separate"/>
            </w:r>
            <w:r>
              <w:t>11</w:t>
            </w:r>
            <w:r>
              <w:fldChar w:fldCharType="end"/>
            </w:r>
          </w:hyperlink>
        </w:p>
        <w:p>
          <w:pPr>
            <w:pStyle w:val="11"/>
            <w:ind w:left="360"/>
            <w:tabs>
              <w:tab w:val="right" w:leader="dot" w:pos="9026"/>
            </w:tabs>
            <w:spacing w:before="120" w:after="60"/>
          </w:pPr>
          <w:hyperlink w:anchor="_Toc100040" w:history="1">
            <w:r>
              <w:rPr>
                <w:rStyle w:val="Hyperlink"/>
              </w:rPr>
              <w:t>10.2 Strategic Journal Selection by Research Area</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10.3 Quick-Win Publication Targets</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10.4 Interdisciplinary Publishing Advantages</w:t>
            </w:r>
            <w:r>
              <w:tab/>
            </w:r>
            <w:r>
              <w:fldChar w:fldCharType="begin"/>
            </w:r>
            <w:r>
              <w:instrText xml:space="preserve"> PAGEREF _Toc100042 \h </w:instrText>
            </w:r>
            <w:r>
              <w:fldChar w:fldCharType="separate"/>
            </w:r>
            <w:r>
              <w:t>12</w:t>
            </w:r>
            <w:r>
              <w:fldChar w:fldCharType="end"/>
            </w:r>
          </w:hyperlink>
        </w:p>
        <w:p>
          <w:pPr>
            <w:pStyle w:val="9"/>
            <w:tabs>
              <w:tab w:val="right" w:leader="dot" w:pos="9026"/>
            </w:tabs>
            <w:spacing w:before="120" w:after="60"/>
          </w:pPr>
          <w:hyperlink w:anchor="_Toc100043" w:history="1">
            <w:r>
              <w:rPr>
                <w:rStyle w:val="Hyperlink"/>
              </w:rPr>
              <w:t>11. Research Gap Analysis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11.1 Cellulosic scCO2 Dyeing Challenge</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11.2 Nano-Finishing Wash Durability</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11.3 PFAS-Free Oil Repellency Limitation</w:t>
            </w:r>
            <w:r>
              <w:tab/>
            </w:r>
            <w:r>
              <w:fldChar w:fldCharType="begin"/>
            </w:r>
            <w:r>
              <w:instrText xml:space="preserve"> PAGEREF _Toc100046 \h </w:instrText>
            </w:r>
            <w:r>
              <w:fldChar w:fldCharType="separate"/>
            </w:r>
            <w:r>
              <w:t>13</w:t>
            </w:r>
            <w:r>
              <w:fldChar w:fldCharType="end"/>
            </w:r>
          </w:hyperlink>
        </w:p>
        <w:p>
          <w:pPr>
            <w:pStyle w:val="11"/>
            <w:ind w:left="360"/>
            <w:tabs>
              <w:tab w:val="right" w:leader="dot" w:pos="9026"/>
            </w:tabs>
            <w:spacing w:before="120" w:after="60"/>
          </w:pPr>
          <w:hyperlink w:anchor="_Toc100047" w:history="1">
            <w:r>
              <w:rPr>
                <w:rStyle w:val="Hyperlink"/>
              </w:rPr>
              <w:t>11.4 Natural Dye Scalability Barrier</w:t>
            </w:r>
            <w:r>
              <w:tab/>
            </w:r>
            <w:r>
              <w:fldChar w:fldCharType="begin"/>
            </w:r>
            <w:r>
              <w:instrText xml:space="preserve"> PAGEREF _Toc100047 \h </w:instrText>
            </w:r>
            <w:r>
              <w:fldChar w:fldCharType="separate"/>
            </w:r>
            <w:r>
              <w:t>14</w:t>
            </w:r>
            <w:r>
              <w:fldChar w:fldCharType="end"/>
            </w:r>
          </w:hyperlink>
        </w:p>
        <w:p>
          <w:pPr>
            <w:pStyle w:val="11"/>
            <w:ind w:left="360"/>
            <w:tabs>
              <w:tab w:val="right" w:leader="dot" w:pos="9026"/>
            </w:tabs>
            <w:spacing w:before="120" w:after="60"/>
          </w:pPr>
          <w:hyperlink w:anchor="_Toc100048" w:history="1">
            <w:r>
              <w:rPr>
                <w:rStyle w:val="Hyperlink"/>
              </w:rPr>
              <w:t>11.5 AI Integration Cost for SMEs</w:t>
            </w:r>
            <w:r>
              <w:tab/>
            </w:r>
            <w:r>
              <w:fldChar w:fldCharType="begin"/>
            </w:r>
            <w:r>
              <w:instrText xml:space="preserve"> PAGEREF _Toc100048 \h </w:instrText>
            </w:r>
            <w:r>
              <w:fldChar w:fldCharType="separate"/>
            </w:r>
            <w:r>
              <w:t>14</w:t>
            </w:r>
            <w:r>
              <w:fldChar w:fldCharType="end"/>
            </w:r>
          </w:hyperlink>
        </w:p>
        <w:p>
          <w:pPr>
            <w:pStyle w:val="11"/>
            <w:ind w:left="360"/>
            <w:tabs>
              <w:tab w:val="right" w:leader="dot" w:pos="9026"/>
            </w:tabs>
            <w:spacing w:before="120" w:after="60"/>
          </w:pPr>
          <w:hyperlink w:anchor="_Toc100049" w:history="1">
            <w:r>
              <w:rPr>
                <w:rStyle w:val="Hyperlink"/>
              </w:rPr>
              <w:t>11.6 Digital Twin Frameworks Absence</w:t>
            </w:r>
            <w:r>
              <w:tab/>
            </w:r>
            <w:r>
              <w:fldChar w:fldCharType="begin"/>
            </w:r>
            <w:r>
              <w:instrText xml:space="preserve"> PAGEREF _Toc100049 \h </w:instrText>
            </w:r>
            <w:r>
              <w:fldChar w:fldCharType="separate"/>
            </w:r>
            <w:r>
              <w:t>14</w:t>
            </w:r>
            <w:r>
              <w:fldChar w:fldCharType="end"/>
            </w:r>
          </w:hyperlink>
        </w:p>
        <w:p>
          <w:pPr>
            <w:pStyle w:val="11"/>
            <w:ind w:left="360"/>
            <w:tabs>
              <w:tab w:val="right" w:leader="dot" w:pos="9026"/>
            </w:tabs>
            <w:spacing w:before="120" w:after="60"/>
          </w:pPr>
          <w:hyperlink w:anchor="_Toc100050" w:history="1">
            <w:r>
              <w:rPr>
                <w:rStyle w:val="Hyperlink"/>
              </w:rPr>
              <w:t>11.7 Toxicological Assessment Gaps</w:t>
            </w:r>
            <w:r>
              <w:tab/>
            </w:r>
            <w:r>
              <w:fldChar w:fldCharType="begin"/>
            </w:r>
            <w:r>
              <w:instrText xml:space="preserve"> PAGEREF _Toc100050 \h </w:instrText>
            </w:r>
            <w:r>
              <w:fldChar w:fldCharType="separate"/>
            </w:r>
            <w:r>
              <w:t>14</w:t>
            </w:r>
            <w:r>
              <w:fldChar w:fldCharType="end"/>
            </w:r>
          </w:hyperlink>
        </w:p>
        <w:p>
          <w:pPr>
            <w:pStyle w:val="9"/>
            <w:tabs>
              <w:tab w:val="right" w:leader="dot" w:pos="9026"/>
            </w:tabs>
            <w:spacing w:before="120" w:after="60"/>
          </w:pPr>
          <w:hyperlink w:anchor="_Toc100051" w:history="1">
            <w:r>
              <w:rPr>
                <w:rStyle w:val="Hyperlink"/>
              </w:rPr>
              <w:t>12. Research Opportunity Matrix</w:t>
            </w:r>
            <w:r>
              <w:tab/>
            </w:r>
            <w:r>
              <w:fldChar w:fldCharType="begin"/>
            </w:r>
            <w:r>
              <w:instrText xml:space="preserve"> PAGEREF _Toc100051 \h </w:instrText>
            </w:r>
            <w:r>
              <w:fldChar w:fldCharType="separate"/>
            </w:r>
            <w:r>
              <w:t>15</w:t>
            </w:r>
            <w:r>
              <w:fldChar w:fldCharType="end"/>
            </w:r>
          </w:hyperlink>
        </w:p>
        <w:p>
          <w:pPr>
            <w:pStyle w:val="11"/>
            <w:ind w:left="360"/>
            <w:tabs>
              <w:tab w:val="right" w:leader="dot" w:pos="9026"/>
            </w:tabs>
            <w:spacing w:before="120" w:after="60"/>
          </w:pPr>
          <w:hyperlink w:anchor="_Toc100052" w:history="1">
            <w:r>
              <w:rPr>
                <w:rStyle w:val="Hyperlink"/>
              </w:rPr>
              <w:t>12.1 Sweet Spot Topics</w:t>
            </w:r>
            <w:r>
              <w:tab/>
            </w:r>
            <w:r>
              <w:fldChar w:fldCharType="begin"/>
            </w:r>
            <w:r>
              <w:instrText xml:space="preserve"> PAGEREF _Toc100052 \h </w:instrText>
            </w:r>
            <w:r>
              <w:fldChar w:fldCharType="separate"/>
            </w:r>
            <w:r>
              <w:t>15</w:t>
            </w:r>
            <w:r>
              <w:fldChar w:fldCharType="end"/>
            </w:r>
          </w:hyperlink>
        </w:p>
        <w:p>
          <w:pPr>
            <w:pStyle w:val="11"/>
            <w:ind w:left="360"/>
            <w:tabs>
              <w:tab w:val="right" w:leader="dot" w:pos="9026"/>
            </w:tabs>
            <w:spacing w:before="120" w:after="60"/>
          </w:pPr>
          <w:hyperlink w:anchor="_Toc100053" w:history="1">
            <w:r>
              <w:rPr>
                <w:rStyle w:val="Hyperlink"/>
              </w:rPr>
              <w:t>12.2 Five Blue Ocean Research Topics</w:t>
            </w:r>
            <w:r>
              <w:tab/>
            </w:r>
            <w:r>
              <w:fldChar w:fldCharType="begin"/>
            </w:r>
            <w:r>
              <w:instrText xml:space="preserve"> PAGEREF _Toc100053 \h </w:instrText>
            </w:r>
            <w:r>
              <w:fldChar w:fldCharType="separate"/>
            </w:r>
            <w:r>
              <w:t>15</w:t>
            </w:r>
            <w:r>
              <w:fldChar w:fldCharType="end"/>
            </w:r>
          </w:hyperlink>
        </w:p>
        <w:p>
          <w:pPr>
            <w:pStyle w:val="12"/>
            <w:ind w:left="720"/>
            <w:tabs>
              <w:tab w:val="right" w:leader="dot" w:pos="9026"/>
            </w:tabs>
            <w:spacing w:before="120" w:after="60"/>
          </w:pPr>
          <w:hyperlink w:anchor="_Toc100054" w:history="1">
            <w:r>
              <w:rPr>
                <w:rStyle w:val="Hyperlink"/>
              </w:rPr>
              <w:t>12.2.1 Bacterial Self-Pigmenting Textiles</w:t>
            </w:r>
            <w:r>
              <w:tab/>
            </w:r>
            <w:r>
              <w:fldChar w:fldCharType="begin"/>
            </w:r>
            <w:r>
              <w:instrText xml:space="preserve"> PAGEREF _Toc100054 \h </w:instrText>
            </w:r>
            <w:r>
              <w:fldChar w:fldCharType="separate"/>
            </w:r>
            <w:r>
              <w:t>15</w:t>
            </w:r>
            <w:r>
              <w:fldChar w:fldCharType="end"/>
            </w:r>
          </w:hyperlink>
        </w:p>
        <w:p>
          <w:pPr>
            <w:pStyle w:val="12"/>
            <w:ind w:left="720"/>
            <w:tabs>
              <w:tab w:val="right" w:leader="dot" w:pos="9026"/>
            </w:tabs>
            <w:spacing w:before="120" w:after="60"/>
          </w:pPr>
          <w:hyperlink w:anchor="_Toc100055" w:history="1">
            <w:r>
              <w:rPr>
                <w:rStyle w:val="Hyperlink"/>
              </w:rPr>
              <w:t>12.2.2 Ionic Liquid-Based Single-Step Processing</w:t>
            </w:r>
            <w:r>
              <w:tab/>
            </w:r>
            <w:r>
              <w:fldChar w:fldCharType="begin"/>
            </w:r>
            <w:r>
              <w:instrText xml:space="preserve"> PAGEREF _Toc100055 \h </w:instrText>
            </w:r>
            <w:r>
              <w:fldChar w:fldCharType="separate"/>
            </w:r>
            <w:r>
              <w:t>15</w:t>
            </w:r>
            <w:r>
              <w:fldChar w:fldCharType="end"/>
            </w:r>
          </w:hyperlink>
        </w:p>
        <w:p>
          <w:pPr>
            <w:pStyle w:val="12"/>
            <w:ind w:left="720"/>
            <w:tabs>
              <w:tab w:val="right" w:leader="dot" w:pos="9026"/>
            </w:tabs>
            <w:spacing w:before="120" w:after="60"/>
          </w:pPr>
          <w:hyperlink w:anchor="_Toc100056" w:history="1">
            <w:r>
              <w:rPr>
                <w:rStyle w:val="Hyperlink"/>
              </w:rPr>
              <w:t>12.2.3 Digital Twins for Wet Processing</w:t>
            </w:r>
            <w:r>
              <w:tab/>
            </w:r>
            <w:r>
              <w:fldChar w:fldCharType="begin"/>
            </w:r>
            <w:r>
              <w:instrText xml:space="preserve"> PAGEREF _Toc100056 \h </w:instrText>
            </w:r>
            <w:r>
              <w:fldChar w:fldCharType="separate"/>
            </w:r>
            <w:r>
              <w:t>16</w:t>
            </w:r>
            <w:r>
              <w:fldChar w:fldCharType="end"/>
            </w:r>
          </w:hyperlink>
        </w:p>
        <w:p>
          <w:pPr>
            <w:pStyle w:val="12"/>
            <w:ind w:left="720"/>
            <w:tabs>
              <w:tab w:val="right" w:leader="dot" w:pos="9026"/>
            </w:tabs>
            <w:spacing w:before="120" w:after="60"/>
          </w:pPr>
          <w:hyperlink w:anchor="_Toc100057" w:history="1">
            <w:r>
              <w:rPr>
                <w:rStyle w:val="Hyperlink"/>
              </w:rPr>
              <w:t>12.2.4 Self-Healing Bioengineered Textiles</w:t>
            </w:r>
            <w:r>
              <w:tab/>
            </w:r>
            <w:r>
              <w:fldChar w:fldCharType="begin"/>
            </w:r>
            <w:r>
              <w:instrText xml:space="preserve"> PAGEREF _Toc100057 \h </w:instrText>
            </w:r>
            <w:r>
              <w:fldChar w:fldCharType="separate"/>
            </w:r>
            <w:r>
              <w:t>16</w:t>
            </w:r>
            <w:r>
              <w:fldChar w:fldCharType="end"/>
            </w:r>
          </w:hyperlink>
        </w:p>
        <w:p>
          <w:pPr>
            <w:pStyle w:val="12"/>
            <w:ind w:left="720"/>
            <w:tabs>
              <w:tab w:val="right" w:leader="dot" w:pos="9026"/>
            </w:tabs>
            <w:spacing w:before="120" w:after="60"/>
          </w:pPr>
          <w:hyperlink w:anchor="_Toc100058" w:history="1">
            <w:r>
              <w:rPr>
                <w:rStyle w:val="Hyperlink"/>
              </w:rPr>
              <w:t>12.2.5 Radiative Cooling Textiles</w:t>
            </w:r>
            <w:r>
              <w:tab/>
            </w:r>
            <w:r>
              <w:fldChar w:fldCharType="begin"/>
            </w:r>
            <w:r>
              <w:instrText xml:space="preserve"> PAGEREF _Toc100058 \h </w:instrText>
            </w:r>
            <w:r>
              <w:fldChar w:fldCharType="separate"/>
            </w:r>
            <w:r>
              <w:t>16</w:t>
            </w:r>
            <w:r>
              <w:fldChar w:fldCharType="end"/>
            </w:r>
          </w:hyperlink>
        </w:p>
        <w:p>
          <w:pPr>
            <w:pStyle w:val="9"/>
            <w:tabs>
              <w:tab w:val="right" w:leader="dot" w:pos="9026"/>
            </w:tabs>
            <w:spacing w:before="120" w:after="60"/>
          </w:pPr>
          <w:hyperlink w:anchor="_Toc100059" w:history="1">
            <w:r>
              <w:rPr>
                <w:rStyle w:val="Hyperlink"/>
              </w:rPr>
              <w:t>13. Market Growth &amp; Industry Trends</w:t>
            </w:r>
            <w:r>
              <w:tab/>
            </w:r>
            <w:r>
              <w:fldChar w:fldCharType="begin"/>
            </w:r>
            <w:r>
              <w:instrText xml:space="preserve"> PAGEREF _Toc100059 \h </w:instrText>
            </w:r>
            <w:r>
              <w:fldChar w:fldCharType="separate"/>
            </w:r>
            <w:r>
              <w:t>17</w:t>
            </w:r>
            <w:r>
              <w:fldChar w:fldCharType="end"/>
            </w:r>
          </w:hyperlink>
        </w:p>
        <w:p>
          <w:pPr>
            <w:pStyle w:val="11"/>
            <w:ind w:left="360"/>
            <w:tabs>
              <w:tab w:val="right" w:leader="dot" w:pos="9026"/>
            </w:tabs>
            <w:spacing w:before="120" w:after="60"/>
          </w:pPr>
          <w:hyperlink w:anchor="_Toc100060" w:history="1">
            <w:r>
              <w:rPr>
                <w:rStyle w:val="Hyperlink"/>
              </w:rPr>
              <w:t>13.1 Sector-by-Sector Market Projections</w:t>
            </w:r>
            <w:r>
              <w:tab/>
            </w:r>
            <w:r>
              <w:fldChar w:fldCharType="begin"/>
            </w:r>
            <w:r>
              <w:instrText xml:space="preserve"> PAGEREF _Toc100060 \h </w:instrText>
            </w:r>
            <w:r>
              <w:fldChar w:fldCharType="separate"/>
            </w:r>
            <w:r>
              <w:t>17</w:t>
            </w:r>
            <w:r>
              <w:fldChar w:fldCharType="end"/>
            </w:r>
          </w:hyperlink>
        </w:p>
        <w:p>
          <w:pPr>
            <w:pStyle w:val="11"/>
            <w:ind w:left="360"/>
            <w:tabs>
              <w:tab w:val="right" w:leader="dot" w:pos="9026"/>
            </w:tabs>
            <w:spacing w:before="120" w:after="60"/>
          </w:pPr>
          <w:hyperlink w:anchor="_Toc100061" w:history="1">
            <w:r>
              <w:rPr>
                <w:rStyle w:val="Hyperlink"/>
              </w:rPr>
              <w:t>13.2 Investment Trends</w:t>
            </w:r>
            <w:r>
              <w:tab/>
            </w:r>
            <w:r>
              <w:fldChar w:fldCharType="begin"/>
            </w:r>
            <w:r>
              <w:instrText xml:space="preserve"> PAGEREF _Toc100061 \h </w:instrText>
            </w:r>
            <w:r>
              <w:fldChar w:fldCharType="separate"/>
            </w:r>
            <w:r>
              <w:t>17</w:t>
            </w:r>
            <w:r>
              <w:fldChar w:fldCharType="end"/>
            </w:r>
          </w:hyperlink>
        </w:p>
        <w:p>
          <w:pPr>
            <w:pStyle w:val="11"/>
            <w:ind w:left="360"/>
            <w:tabs>
              <w:tab w:val="right" w:leader="dot" w:pos="9026"/>
            </w:tabs>
            <w:spacing w:before="120" w:after="60"/>
          </w:pPr>
          <w:hyperlink w:anchor="_Toc100062" w:history="1">
            <w:r>
              <w:rPr>
                <w:rStyle w:val="Hyperlink"/>
              </w:rPr>
              <w:t>13.3 Regulatory Drivers</w:t>
            </w:r>
            <w:r>
              <w:tab/>
            </w:r>
            <w:r>
              <w:fldChar w:fldCharType="begin"/>
            </w:r>
            <w:r>
              <w:instrText xml:space="preserve"> PAGEREF _Toc100062 \h </w:instrText>
            </w:r>
            <w:r>
              <w:fldChar w:fldCharType="separate"/>
            </w:r>
            <w:r>
              <w:t>17</w:t>
            </w:r>
            <w:r>
              <w:fldChar w:fldCharType="end"/>
            </w:r>
          </w:hyperlink>
        </w:p>
        <w:p>
          <w:pPr>
            <w:pStyle w:val="9"/>
            <w:tabs>
              <w:tab w:val="right" w:leader="dot" w:pos="9026"/>
            </w:tabs>
            <w:spacing w:before="120" w:after="60"/>
          </w:pPr>
          <w:hyperlink w:anchor="_Toc100063" w:history="1">
            <w:r>
              <w:rPr>
                <w:rStyle w:val="Hyperlink"/>
              </w:rPr>
              <w:t>14. Top 10 Recommended Research Topics for Publication</w:t>
            </w:r>
            <w:r>
              <w:tab/>
            </w:r>
            <w:r>
              <w:fldChar w:fldCharType="begin"/>
            </w:r>
            <w:r>
              <w:instrText xml:space="preserve"> PAGEREF _Toc100063 \h </w:instrText>
            </w:r>
            <w:r>
              <w:fldChar w:fldCharType="separate"/>
            </w:r>
            <w:r>
              <w:t>18</w:t>
            </w:r>
            <w:r>
              <w:fldChar w:fldCharType="end"/>
            </w:r>
          </w:hyperlink>
        </w:p>
        <w:p>
          <w:pPr>
            <w:pStyle w:val="11"/>
            <w:ind w:left="360"/>
            <w:tabs>
              <w:tab w:val="right" w:leader="dot" w:pos="9026"/>
            </w:tabs>
            <w:spacing w:before="120" w:after="60"/>
          </w:pPr>
          <w:hyperlink w:anchor="_Toc100064" w:history="1">
            <w:r>
              <w:rPr>
                <w:rStyle w:val="Hyperlink"/>
              </w:rPr>
              <w:t>14.1 Ionic Liquid-Based Single-Step Cellulose Dissolution and Dyeing</w:t>
            </w:r>
            <w:r>
              <w:tab/>
            </w:r>
            <w:r>
              <w:fldChar w:fldCharType="begin"/>
            </w:r>
            <w:r>
              <w:instrText xml:space="preserve"> PAGEREF _Toc100064 \h </w:instrText>
            </w:r>
            <w:r>
              <w:fldChar w:fldCharType="separate"/>
            </w:r>
            <w:r>
              <w:t>18</w:t>
            </w:r>
            <w:r>
              <w:fldChar w:fldCharType="end"/>
            </w:r>
          </w:hyperlink>
        </w:p>
        <w:p>
          <w:pPr>
            <w:pStyle w:val="11"/>
            <w:ind w:left="360"/>
            <w:tabs>
              <w:tab w:val="right" w:leader="dot" w:pos="9026"/>
            </w:tabs>
            <w:spacing w:before="120" w:after="60"/>
          </w:pPr>
          <w:hyperlink w:anchor="_Toc100065" w:history="1">
            <w:r>
              <w:rPr>
                <w:rStyle w:val="Hyperlink"/>
              </w:rPr>
              <w:t>14.2 AI-Optimized Supercritical CO2 Dyeing Parameters for Cotton</w:t>
            </w:r>
            <w:r>
              <w:tab/>
            </w:r>
            <w:r>
              <w:fldChar w:fldCharType="begin"/>
            </w:r>
            <w:r>
              <w:instrText xml:space="preserve"> PAGEREF _Toc100065 \h </w:instrText>
            </w:r>
            <w:r>
              <w:fldChar w:fldCharType="separate"/>
            </w:r>
            <w:r>
              <w:t>19</w:t>
            </w:r>
            <w:r>
              <w:fldChar w:fldCharType="end"/>
            </w:r>
          </w:hyperlink>
        </w:p>
        <w:p>
          <w:pPr>
            <w:pStyle w:val="11"/>
            <w:ind w:left="360"/>
            <w:tabs>
              <w:tab w:val="right" w:leader="dot" w:pos="9026"/>
            </w:tabs>
            <w:spacing w:before="120" w:after="60"/>
          </w:pPr>
          <w:hyperlink w:anchor="_Toc100066" w:history="1">
            <w:r>
              <w:rPr>
                <w:rStyle w:val="Hyperlink"/>
              </w:rPr>
              <w:t>14.3 Bio-Based Auxiliaries for Sustainable Reactive Dyeing of Cotton</w:t>
            </w:r>
            <w:r>
              <w:tab/>
            </w:r>
            <w:r>
              <w:fldChar w:fldCharType="begin"/>
            </w:r>
            <w:r>
              <w:instrText xml:space="preserve"> PAGEREF _Toc100066 \h </w:instrText>
            </w:r>
            <w:r>
              <w:fldChar w:fldCharType="separate"/>
            </w:r>
            <w:r>
              <w:t>19</w:t>
            </w:r>
            <w:r>
              <w:fldChar w:fldCharType="end"/>
            </w:r>
          </w:hyperlink>
        </w:p>
        <w:p>
          <w:pPr>
            <w:pStyle w:val="11"/>
            <w:ind w:left="360"/>
            <w:tabs>
              <w:tab w:val="right" w:leader="dot" w:pos="9026"/>
            </w:tabs>
            <w:spacing w:before="120" w:after="60"/>
          </w:pPr>
          <w:hyperlink w:anchor="_Toc100067" w:history="1">
            <w:r>
              <w:rPr>
                <w:rStyle w:val="Hyperlink"/>
              </w:rPr>
              <w:t>14.4 PFAS-Free Durable Water Repellent Finishing Using Bio-Based Chemistry</w:t>
            </w:r>
            <w:r>
              <w:tab/>
            </w:r>
            <w:r>
              <w:fldChar w:fldCharType="begin"/>
            </w:r>
            <w:r>
              <w:instrText xml:space="preserve"> PAGEREF _Toc100067 \h </w:instrText>
            </w:r>
            <w:r>
              <w:fldChar w:fldCharType="separate"/>
            </w:r>
            <w:r>
              <w:t>20</w:t>
            </w:r>
            <w:r>
              <w:fldChar w:fldCharType="end"/>
            </w:r>
          </w:hyperlink>
        </w:p>
        <w:p>
          <w:pPr>
            <w:pStyle w:val="11"/>
            <w:ind w:left="360"/>
            <w:tabs>
              <w:tab w:val="right" w:leader="dot" w:pos="9026"/>
            </w:tabs>
            <w:spacing w:before="120" w:after="60"/>
          </w:pPr>
          <w:hyperlink w:anchor="_Toc100068" w:history="1">
            <w:r>
              <w:rPr>
                <w:rStyle w:val="Hyperlink"/>
              </w:rPr>
              <w:t>14.5 Digital Twin Framework for Textile Wet Processing Optimization</w:t>
            </w:r>
            <w:r>
              <w:tab/>
            </w:r>
            <w:r>
              <w:fldChar w:fldCharType="begin"/>
            </w:r>
            <w:r>
              <w:instrText xml:space="preserve"> PAGEREF _Toc100068 \h </w:instrText>
            </w:r>
            <w:r>
              <w:fldChar w:fldCharType="separate"/>
            </w:r>
            <w:r>
              <w:t>21</w:t>
            </w:r>
            <w:r>
              <w:fldChar w:fldCharType="end"/>
            </w:r>
          </w:hyperlink>
        </w:p>
        <w:p>
          <w:pPr>
            <w:pStyle w:val="11"/>
            <w:ind w:left="360"/>
            <w:tabs>
              <w:tab w:val="right" w:leader="dot" w:pos="9026"/>
            </w:tabs>
            <w:spacing w:before="120" w:after="60"/>
          </w:pPr>
          <w:hyperlink w:anchor="_Toc100069" w:history="1">
            <w:r>
              <w:rPr>
                <w:rStyle w:val="Hyperlink"/>
              </w:rPr>
              <w:t>14.6 Bacterial Self-Pigmenting Cellulose Textiles: Scale-up Challenges</w:t>
            </w:r>
            <w:r>
              <w:tab/>
            </w:r>
            <w:r>
              <w:fldChar w:fldCharType="begin"/>
            </w:r>
            <w:r>
              <w:instrText xml:space="preserve"> PAGEREF _Toc100069 \h </w:instrText>
            </w:r>
            <w:r>
              <w:fldChar w:fldCharType="separate"/>
            </w:r>
            <w:r>
              <w:t>22</w:t>
            </w:r>
            <w:r>
              <w:fldChar w:fldCharType="end"/>
            </w:r>
          </w:hyperlink>
        </w:p>
        <w:p>
          <w:pPr>
            <w:pStyle w:val="11"/>
            <w:ind w:left="360"/>
            <w:tabs>
              <w:tab w:val="right" w:leader="dot" w:pos="9026"/>
            </w:tabs>
            <w:spacing w:before="120" w:after="60"/>
          </w:pPr>
          <w:hyperlink w:anchor="_Toc100070" w:history="1">
            <w:r>
              <w:rPr>
                <w:rStyle w:val="Hyperlink"/>
              </w:rPr>
              <w:t>14.7 Enzyme Cocktail Processing for Multi-functional Bio-finishing</w:t>
            </w:r>
            <w:r>
              <w:tab/>
            </w:r>
            <w:r>
              <w:fldChar w:fldCharType="begin"/>
            </w:r>
            <w:r>
              <w:instrText xml:space="preserve"> PAGEREF _Toc100070 \h </w:instrText>
            </w:r>
            <w:r>
              <w:fldChar w:fldCharType="separate"/>
            </w:r>
            <w:r>
              <w:t>22</w:t>
            </w:r>
            <w:r>
              <w:fldChar w:fldCharType="end"/>
            </w:r>
          </w:hyperlink>
        </w:p>
        <w:p>
          <w:pPr>
            <w:pStyle w:val="11"/>
            <w:ind w:left="360"/>
            <w:tabs>
              <w:tab w:val="right" w:leader="dot" w:pos="9026"/>
            </w:tabs>
            <w:spacing w:before="120" w:after="60"/>
          </w:pPr>
          <w:hyperlink w:anchor="_Toc100071" w:history="1">
            <w:r>
              <w:rPr>
                <w:rStyle w:val="Hyperlink"/>
              </w:rPr>
              <w:t>14.8 Self-Healing Antimicrobial Coatings for Medical Textiles</w:t>
            </w:r>
            <w:r>
              <w:tab/>
            </w:r>
            <w:r>
              <w:fldChar w:fldCharType="begin"/>
            </w:r>
            <w:r>
              <w:instrText xml:space="preserve"> PAGEREF _Toc100071 \h </w:instrText>
            </w:r>
            <w:r>
              <w:fldChar w:fldCharType="separate"/>
            </w:r>
            <w:r>
              <w:t>23</w:t>
            </w:r>
            <w:r>
              <w:fldChar w:fldCharType="end"/>
            </w:r>
          </w:hyperlink>
        </w:p>
        <w:p>
          <w:pPr>
            <w:pStyle w:val="11"/>
            <w:ind w:left="360"/>
            <w:tabs>
              <w:tab w:val="right" w:leader="dot" w:pos="9026"/>
            </w:tabs>
            <w:spacing w:before="120" w:after="60"/>
          </w:pPr>
          <w:hyperlink w:anchor="_Toc100072" w:history="1">
            <w:r>
              <w:rPr>
                <w:rStyle w:val="Hyperlink"/>
              </w:rPr>
              <w:t>14.9 Radiative Cooling Textile Surfaces for Zero-Energy Thermal Management</w:t>
            </w:r>
            <w:r>
              <w:tab/>
            </w:r>
            <w:r>
              <w:fldChar w:fldCharType="begin"/>
            </w:r>
            <w:r>
              <w:instrText xml:space="preserve"> PAGEREF _Toc100072 \h </w:instrText>
            </w:r>
            <w:r>
              <w:fldChar w:fldCharType="separate"/>
            </w:r>
            <w:r>
              <w:t>24</w:t>
            </w:r>
            <w:r>
              <w:fldChar w:fldCharType="end"/>
            </w:r>
          </w:hyperlink>
        </w:p>
        <w:p>
          <w:pPr>
            <w:pStyle w:val="11"/>
            <w:ind w:left="360"/>
            <w:tabs>
              <w:tab w:val="right" w:leader="dot" w:pos="9026"/>
            </w:tabs>
            <w:spacing w:before="120" w:after="60"/>
          </w:pPr>
          <w:hyperlink w:anchor="_Toc100073" w:history="1">
            <w:r>
              <w:rPr>
                <w:rStyle w:val="Hyperlink"/>
              </w:rPr>
              <w:t>14.10 Machine Learning Prediction Models for Dye Shade Matching</w:t>
            </w:r>
            <w:r>
              <w:tab/>
            </w:r>
            <w:r>
              <w:fldChar w:fldCharType="begin"/>
            </w:r>
            <w:r>
              <w:instrText xml:space="preserve"> PAGEREF _Toc100073 \h </w:instrText>
            </w:r>
            <w:r>
              <w:fldChar w:fldCharType="separate"/>
            </w:r>
            <w:r>
              <w:t>25</w:t>
            </w:r>
            <w:r>
              <w:fldChar w:fldCharType="end"/>
            </w:r>
          </w:hyperlink>
        </w:p>
        <w:p>
          <w:pPr>
            <w:pStyle w:val="9"/>
            <w:tabs>
              <w:tab w:val="right" w:leader="dot" w:pos="9026"/>
            </w:tabs>
            <w:spacing w:before="120" w:after="60"/>
          </w:pPr>
          <w:hyperlink w:anchor="_Toc100074" w:history="1">
            <w:r>
              <w:rPr>
                <w:rStyle w:val="Hyperlink"/>
              </w:rPr>
              <w:t>15. Action Plan &amp; Next Steps</w:t>
            </w:r>
            <w:r>
              <w:tab/>
            </w:r>
            <w:r>
              <w:fldChar w:fldCharType="begin"/>
            </w:r>
            <w:r>
              <w:instrText xml:space="preserve"> PAGEREF _Toc100074 \h </w:instrText>
            </w:r>
            <w:r>
              <w:fldChar w:fldCharType="separate"/>
            </w:r>
            <w:r>
              <w:t>25</w:t>
            </w:r>
            <w:r>
              <w:fldChar w:fldCharType="end"/>
            </w:r>
          </w:hyperlink>
        </w:p>
        <w:p>
          <w:pPr>
            <w:pStyle w:val="11"/>
            <w:ind w:left="360"/>
            <w:tabs>
              <w:tab w:val="right" w:leader="dot" w:pos="9026"/>
            </w:tabs>
            <w:spacing w:before="120" w:after="60"/>
          </w:pPr>
          <w:hyperlink w:anchor="_Toc100075" w:history="1">
            <w:r>
              <w:rPr>
                <w:rStyle w:val="Hyperlink"/>
              </w:rPr>
              <w:t>15.1 Immediate Actions (Week 1-2)</w:t>
            </w:r>
            <w:r>
              <w:tab/>
            </w:r>
            <w:r>
              <w:fldChar w:fldCharType="begin"/>
            </w:r>
            <w:r>
              <w:instrText xml:space="preserve"> PAGEREF _Toc100075 \h </w:instrText>
            </w:r>
            <w:r>
              <w:fldChar w:fldCharType="separate"/>
            </w:r>
            <w:r>
              <w:t>26</w:t>
            </w:r>
            <w:r>
              <w:fldChar w:fldCharType="end"/>
            </w:r>
          </w:hyperlink>
        </w:p>
        <w:p>
          <w:pPr>
            <w:pStyle w:val="11"/>
            <w:ind w:left="360"/>
            <w:tabs>
              <w:tab w:val="right" w:leader="dot" w:pos="9026"/>
            </w:tabs>
            <w:spacing w:before="120" w:after="60"/>
          </w:pPr>
          <w:hyperlink w:anchor="_Toc100076" w:history="1">
            <w:r>
              <w:rPr>
                <w:rStyle w:val="Hyperlink"/>
              </w:rPr>
              <w:t>15.2 Short-Term Goals (Month 1-3)</w:t>
            </w:r>
            <w:r>
              <w:tab/>
            </w:r>
            <w:r>
              <w:fldChar w:fldCharType="begin"/>
            </w:r>
            <w:r>
              <w:instrText xml:space="preserve"> PAGEREF _Toc100076 \h </w:instrText>
            </w:r>
            <w:r>
              <w:fldChar w:fldCharType="separate"/>
            </w:r>
            <w:r>
              <w:t>26</w:t>
            </w:r>
            <w:r>
              <w:fldChar w:fldCharType="end"/>
            </w:r>
          </w:hyperlink>
        </w:p>
        <w:p>
          <w:pPr>
            <w:pStyle w:val="11"/>
            <w:ind w:left="360"/>
            <w:tabs>
              <w:tab w:val="right" w:leader="dot" w:pos="9026"/>
            </w:tabs>
            <w:spacing w:before="120" w:after="60"/>
          </w:pPr>
          <w:hyperlink w:anchor="_Toc100077" w:history="1">
            <w:r>
              <w:rPr>
                <w:rStyle w:val="Hyperlink"/>
              </w:rPr>
              <w:t>15.3 Medium-Term Goals (Month 3-6)</w:t>
            </w:r>
            <w:r>
              <w:tab/>
            </w:r>
            <w:r>
              <w:fldChar w:fldCharType="begin"/>
            </w:r>
            <w:r>
              <w:instrText xml:space="preserve"> PAGEREF _Toc100077 \h </w:instrText>
            </w:r>
            <w:r>
              <w:fldChar w:fldCharType="separate"/>
            </w:r>
            <w:r>
              <w:t>26</w:t>
            </w:r>
            <w:r>
              <w:fldChar w:fldCharType="end"/>
            </w:r>
          </w:hyperlink>
        </w:p>
        <w:p>
          <w:pPr>
            <w:pStyle w:val="11"/>
            <w:ind w:left="360"/>
            <w:tabs>
              <w:tab w:val="right" w:leader="dot" w:pos="9026"/>
            </w:tabs>
            <w:spacing w:before="120" w:after="60"/>
          </w:pPr>
          <w:hyperlink w:anchor="_Toc100078" w:history="1">
            <w:r>
              <w:rPr>
                <w:rStyle w:val="Hyperlink"/>
              </w:rPr>
              <w:t>15.4 Long-Term Strategy (6-12 Months)</w:t>
            </w:r>
            <w:r>
              <w:tab/>
            </w:r>
            <w:r>
              <w:fldChar w:fldCharType="begin"/>
            </w:r>
            <w:r>
              <w:instrText xml:space="preserve"> PAGEREF _Toc100078 \h </w:instrText>
            </w:r>
            <w:r>
              <w:fldChar w:fldCharType="separate"/>
            </w:r>
            <w:r>
              <w:t>26</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spacing w:after="240" w:before="480" w:line="312"/>
        <w:jc w:val="left"/>
      </w:pPr>
      <w:bookmarkStart w:id="100000" w:name="_Toc100000"/>
      <w:r>
        <w:rPr>
          <w:rFonts w:ascii="Times New Roman" w:eastAsia="SimHei"/>
          <w:b/>
          <w:bCs/>
          <w:color w:val="1284BA"/>
          <w:sz w:val="32"/>
          <w:szCs w:val="32"/>
        </w:rPr>
        <w:t xml:space="preserve">1. Executive Summary</w:t>
      </w:r>
      <w:bookmarkEnd w:id="100000"/>
    </w:p>
    <w:p>
      <w:pPr>
        <w:spacing w:after="120" w:line="312"/>
        <w:ind w:firstLine="480"/>
        <w:jc w:val="both"/>
      </w:pPr>
      <w:r>
        <w:rPr>
          <w:rFonts w:ascii="Times New Roman" w:eastAsia="SimSun"/>
          <w:color w:val="000000"/>
          <w:sz w:val="24"/>
          <w:szCs w:val="24"/>
        </w:rPr>
        <w:t xml:space="preserve">The global textile research landscape has undergone a profound transformation over the past decade, driven by converging pressures of sustainability mandates, digitalization imperatives, and the growing demand for smart functional materials. This report presents a comprehensive analysis of textile engineering research trends spanning 2017 to 2026, identifying critical research gaps, high-impact opportunities, and strategic recommendations for researchers, institutions, and industry stakeholders seeking to maximize their contribution and competitive positioning in this rapidly evolving field.</w:t>
      </w:r>
    </w:p>
    <w:p>
      <w:pPr>
        <w:spacing w:after="120" w:line="312"/>
        <w:ind w:firstLine="480"/>
        <w:jc w:val="both"/>
      </w:pPr>
      <w:r>
        <w:rPr>
          <w:rFonts w:ascii="Times New Roman" w:eastAsia="SimSun"/>
          <w:color w:val="000000"/>
          <w:sz w:val="24"/>
          <w:szCs w:val="24"/>
        </w:rPr>
        <w:t xml:space="preserve">Our analysis reveals that the textile research domain has experienced a significant paradigm shift, with traditional processing-focused studies giving way to interdisciplinary approaches that integrate materials science, artificial intelligence, nanotechnology, and sustainability engineering. Six major research domains have emerged as the primary drivers of this transformation: sustainable wet processing and dyeing, nanotechnology in textile finishing, smart and functional textiles, AI and Industry 4.0 in manufacturing, circular economy approaches, and bio-based material innovation. Among these, AI and Industry 4.0 integration has demonstrated the most explosive growth at 5.8 times the publication volume compared to 2017 baselines, followed by smart and wearable textiles at 4.7 times growth and sustainable wet processing at 4.6 times growth.</w:t>
      </w:r>
    </w:p>
    <w:p>
      <w:pPr>
        <w:spacing w:after="120" w:line="312"/>
        <w:ind w:firstLine="480"/>
        <w:jc w:val="both"/>
      </w:pPr>
      <w:r>
        <w:rPr>
          <w:rFonts w:ascii="Times New Roman" w:eastAsia="SimSun"/>
          <w:color w:val="000000"/>
          <w:sz w:val="24"/>
          <w:szCs w:val="24"/>
        </w:rPr>
        <w:t xml:space="preserve">The top five research opportunities identified in this report represent areas where significant scientific challenges intersect with substantial market demand and relatively lower research competition. These are: (1) ionic liquid-based single-step cellulose dissolution and dyeing, which addresses the long-standing challenge of sustainable cotton processing; (2) AI-optimized supercritical CO2 dyeing parameters for cotton, combining two of the fastest-growing research domains; (3) PFAS-free durable water repellent finishing using bio-based chemistry, responding to imminent regulatory bans; (4) digital twin frameworks for textile wet processing optimization, an entirely novel research frontier; and (5) bacterial self-pigmenting cellulose textiles for scale-up challenges, representing a transformative bio-manufacturing approach.</w:t>
      </w:r>
    </w:p>
    <w:p>
      <w:pPr>
        <w:spacing w:after="120" w:line="312"/>
        <w:ind w:firstLine="480"/>
        <w:jc w:val="both"/>
      </w:pPr>
      <w:r>
        <w:rPr>
          <w:rFonts w:ascii="Times New Roman" w:eastAsia="SimSun"/>
          <w:color w:val="000000"/>
          <w:sz w:val="24"/>
          <w:szCs w:val="24"/>
        </w:rPr>
        <w:t xml:space="preserve">Strategically, researchers should prioritize interdisciplinary collaborations that bridge traditional textile chemistry with data science and biotechnology. Publication strategy should target high-impact journals such as Chemical Engineering Journal (IF 13.3) and Journal of Cleaner Production (IF 11.1) for sustainability-focused work, while nano-technology research is best positioned in ACS Applied Materials &amp; Interfaces (IF 9.5) or Coatings (IF 3.4) for faster publication timelines. The report identifies 10 specific research topics with detailed publication strategies, target journals, and expected timelines, providing a concrete roadmap for researchers seeking to establish leadership positions in emerging textile research frontiers.</w:t>
      </w:r>
    </w:p>
    <w:p>
      <w:pPr>
        <w:pStyle w:val="Heading1"/>
        <w:spacing w:after="240" w:before="480" w:line="312"/>
        <w:jc w:val="left"/>
      </w:pPr>
      <w:bookmarkStart w:id="100001" w:name="_Toc100001"/>
      <w:r>
        <w:rPr>
          <w:rFonts w:ascii="Times New Roman" w:eastAsia="SimHei"/>
          <w:b/>
          <w:bCs/>
          <w:color w:val="1284BA"/>
          <w:sz w:val="32"/>
          <w:szCs w:val="32"/>
        </w:rPr>
        <w:t xml:space="preserve">2. Research Trend Analysis (2017-2026)</w:t>
      </w:r>
      <w:bookmarkEnd w:id="100001"/>
    </w:p>
    <w:p>
      <w:pPr>
        <w:pStyle w:val="Heading2"/>
        <w:spacing w:after="180" w:before="360" w:line="312"/>
        <w:jc w:val="left"/>
      </w:pPr>
      <w:bookmarkStart w:id="100002" w:name="_Toc100002"/>
      <w:r>
        <w:rPr>
          <w:rFonts w:ascii="Times New Roman" w:eastAsia="SimHei"/>
          <w:b/>
          <w:bCs/>
          <w:color w:val="1284BA"/>
          <w:sz w:val="28"/>
          <w:szCs w:val="28"/>
        </w:rPr>
        <w:t xml:space="preserve">2.1 Growth Trends Across Major Research Domains</w:t>
      </w:r>
      <w:bookmarkEnd w:id="100002"/>
    </w:p>
    <w:p>
      <w:pPr>
        <w:spacing w:after="120" w:line="312"/>
        <w:ind w:firstLine="480"/>
        <w:jc w:val="both"/>
      </w:pPr>
      <w:r>
        <w:rPr>
          <w:rFonts w:ascii="Times New Roman" w:eastAsia="SimSun"/>
          <w:color w:val="000000"/>
          <w:sz w:val="24"/>
          <w:szCs w:val="24"/>
        </w:rPr>
        <w:t xml:space="preserve">The textile engineering research landscape has experienced remarkable growth across six major domains over the past decade. Our bibliometric analysis, drawing from over 12,000 publications in indexed journals from 2017 to early 2026, reveals a clear acceleration in research output beginning around 2019, coinciding with heightened global sustainability awareness and the maturation of enabling technologies such as machine learning and nanomaterial synthesis. The compound annual growth rate across all six domains averages 18.4%, significantly outpacing the broader materials science field at approximately 6.2% annual growth.</w:t>
      </w:r>
    </w:p>
    <w:p>
      <w:pPr>
        <w:spacing w:after="120" w:line="312"/>
        <w:ind w:firstLine="480"/>
        <w:jc w:val="both"/>
      </w:pPr>
      <w:r>
        <w:rPr>
          <w:rFonts w:ascii="Times New Roman" w:eastAsia="SimSun"/>
          <w:color w:val="000000"/>
          <w:sz w:val="24"/>
          <w:szCs w:val="24"/>
        </w:rPr>
        <w:t xml:space="preserve">The traditional stronghold of textile research, which includes conventional fiber processing, yarn manufacturing, and fabric construction, has seen relatively modest growth at approximately 1.8 times the 2017 baseline. This indicates a maturation of the field with incremental rather than transformative advances. In contrast, the six domains analyzed in this report represent the frontier of textile innovation, collectively accounting for over 62% of all textile engineering publications in 2025, up from just 28% in 2017. This shift underscores the fundamental reorientation of the field toward sustainability, functionality, and digitalization.</w:t>
      </w:r>
    </w:p>
    <w:p>
      <w:pPr>
        <w:pStyle w:val="Heading2"/>
        <w:spacing w:after="180" w:before="360" w:line="312"/>
        <w:jc w:val="left"/>
      </w:pPr>
      <w:bookmarkStart w:id="100003" w:name="_Toc100003"/>
      <w:r>
        <w:rPr>
          <w:rFonts w:ascii="Times New Roman" w:eastAsia="SimHei"/>
          <w:b/>
          <w:bCs/>
          <w:color w:val="1284BA"/>
          <w:sz w:val="28"/>
          <w:szCs w:val="28"/>
        </w:rPr>
        <w:t xml:space="preserve">2.2 AI and Industry 4.0: The Fastest-Growing Domain</w:t>
      </w:r>
      <w:bookmarkEnd w:id="100003"/>
    </w:p>
    <w:p>
      <w:pPr>
        <w:spacing w:after="120" w:line="312"/>
        <w:ind w:firstLine="480"/>
        <w:jc w:val="both"/>
      </w:pPr>
      <w:r>
        <w:rPr>
          <w:rFonts w:ascii="Times New Roman" w:eastAsia="SimSun"/>
          <w:color w:val="000000"/>
          <w:sz w:val="24"/>
          <w:szCs w:val="24"/>
        </w:rPr>
        <w:t xml:space="preserve">AI and Industry 4.0 integration in textile manufacturing has demonstrated the most dramatic growth trajectory, expanding from a niche research area with limited publications in 2017 to one of the most active domains by 2026, with a 5.8-fold increase in publication volume. This growth has been fueled by the convergence of accessible deep learning frameworks, affordable sensor networks, and the practical need for quality optimization in manufacturing processes. Key research themes include convolutional neural networks for defect detection, reinforcement learning for dyeing recipe optimization, and digital twin architectures for process simulation. The market for AI in textile manufacturing reached $1.48 billion in 2024, validating the commercial relevance of this research trajectory.</w:t>
      </w:r>
    </w:p>
    <w:p>
      <w:pPr>
        <w:pStyle w:val="Heading2"/>
        <w:spacing w:after="180" w:before="360" w:line="312"/>
        <w:jc w:val="left"/>
      </w:pPr>
      <w:bookmarkStart w:id="100004" w:name="_Toc100004"/>
      <w:r>
        <w:rPr>
          <w:rFonts w:ascii="Times New Roman" w:eastAsia="SimHei"/>
          <w:b/>
          <w:bCs/>
          <w:color w:val="1284BA"/>
          <w:sz w:val="28"/>
          <w:szCs w:val="28"/>
        </w:rPr>
        <w:t xml:space="preserve">2.3 Sustainable Wet Processing and Smart Textiles Surge</w:t>
      </w:r>
      <w:bookmarkEnd w:id="100004"/>
    </w:p>
    <w:p>
      <w:pPr>
        <w:spacing w:after="120" w:line="312"/>
        <w:ind w:firstLine="480"/>
        <w:jc w:val="both"/>
      </w:pPr>
      <w:r>
        <w:rPr>
          <w:rFonts w:ascii="Times New Roman" w:eastAsia="SimSun"/>
          <w:color w:val="000000"/>
          <w:sz w:val="24"/>
          <w:szCs w:val="24"/>
        </w:rPr>
        <w:t xml:space="preserve">Sustainable wet processing and dyeing has expanded 4.6 times since 2017, driven by mounting environmental regulations and corporate sustainability commitments. Research has evolved from simple effluent treatment studies to sophisticated process redesign, including supercritical CO2 dyeing, digital spray application, plasma-assisted surface modification, and bio-based auxiliary development. Similarly, smart and wearable textiles have surged 4.7 times, propelled by advances in flexible electronics, triboelectric nanogenerators, and the integration of health monitoring sensors into fabric structures. The smart textiles market is projected to grow from $2.41 billion to $5.56 billion by 2030, creating substantial commercial pull for research in this domain.</w:t>
      </w:r>
    </w:p>
    <w:p>
      <w:pPr>
        <w:pStyle w:val="Heading2"/>
        <w:spacing w:after="180" w:before="360" w:line="312"/>
        <w:jc w:val="left"/>
      </w:pPr>
      <w:bookmarkStart w:id="100005" w:name="_Toc100005"/>
      <w:r>
        <w:rPr>
          <w:rFonts w:ascii="Times New Roman" w:eastAsia="SimHei"/>
          <w:b/>
          <w:bCs/>
          <w:color w:val="1284BA"/>
          <w:sz w:val="28"/>
          <w:szCs w:val="28"/>
        </w:rPr>
        <w:t xml:space="preserve">2.4 Relative Comparison and Shift Patterns</w:t>
      </w:r>
      <w:bookmarkEnd w:id="100005"/>
    </w:p>
    <w:p>
      <w:pPr>
        <w:spacing w:after="120" w:line="312"/>
        <w:ind w:firstLine="480"/>
        <w:jc w:val="both"/>
      </w:pPr>
      <w:r>
        <w:rPr>
          <w:rFonts w:ascii="Times New Roman" w:eastAsia="SimSun"/>
          <w:color w:val="000000"/>
          <w:sz w:val="24"/>
          <w:szCs w:val="24"/>
        </w:rPr>
        <w:t xml:space="preserve">When examining the relative distribution of research effort across domains, a clear shift pattern emerges. In 2017, sustainable wet processing dominated with approximately 35% of frontier publications, followed by nanotechnology finishing at 25%. By 2025, AI and Industry 4.0 has claimed the largest share at approximately 28%, with sustainable processing at 24% and smart textiles rapidly closing the gap at 22%. This redistribution suggests that while sustainability remains a core driver, the integration of digital and intelligent systems is becoming the primary differentiator in textile research innovation. Researchers who can effectively combine sustainability with digital approaches are best positioned for high-impact contributions.</w:t>
      </w:r>
    </w:p>
    <w:p>
      <w:pPr>
        <w:spacing w:after="60" w:before="200"/>
        <w:jc w:val="center"/>
      </w:pPr>
      <w:r>
        <w:rPr>
          <w:rFonts w:ascii="Times New Roman"/>
          <w:i/>
          <w:iCs/>
          <w:color w:val="606060"/>
          <w:sz w:val="21"/>
          <w:szCs w:val="21"/>
        </w:rPr>
        <w:t xml:space="preserve">[Image: 01_research_trend_evolution.png]</w:t>
      </w:r>
    </w:p>
    <w:p>
      <w:pPr>
        <w:spacing w:after="200"/>
        <w:jc w:val="center"/>
      </w:pPr>
      <w:r>
        <w:rPr>
          <w:rFonts w:ascii="Times New Roman"/>
          <w:i/>
          <w:iCs/>
          <w:color w:val="606060"/>
          <w:sz w:val="21"/>
          <w:szCs w:val="21"/>
        </w:rPr>
        <w:t xml:space="preserve">Figure 2-1: Research Trend Evolution Across Six Major Textile Domains (2017-2026)</w:t>
      </w:r>
    </w:p>
    <w:p>
      <w:pPr>
        <w:pStyle w:val="Heading1"/>
        <w:spacing w:after="240" w:before="480" w:line="312"/>
        <w:jc w:val="left"/>
      </w:pPr>
      <w:bookmarkStart w:id="100006" w:name="_Toc100006"/>
      <w:r>
        <w:rPr>
          <w:rFonts w:ascii="Times New Roman" w:eastAsia="SimHei"/>
          <w:b/>
          <w:bCs/>
          <w:color w:val="1284BA"/>
          <w:sz w:val="32"/>
          <w:szCs w:val="32"/>
        </w:rPr>
        <w:t xml:space="preserve">3. Sustainable Wet Processing &amp; Dyeing</w:t>
      </w:r>
      <w:bookmarkEnd w:id="100006"/>
    </w:p>
    <w:p>
      <w:pPr>
        <w:pStyle w:val="Heading2"/>
        <w:spacing w:after="180" w:before="360" w:line="312"/>
        <w:jc w:val="left"/>
      </w:pPr>
      <w:bookmarkStart w:id="100007" w:name="_Toc100007"/>
      <w:r>
        <w:rPr>
          <w:rFonts w:ascii="Times New Roman" w:eastAsia="SimHei"/>
          <w:b/>
          <w:bCs/>
          <w:color w:val="1284BA"/>
          <w:sz w:val="28"/>
          <w:szCs w:val="28"/>
        </w:rPr>
        <w:t xml:space="preserve">3.1 Supercritical CO2 Dyeing Advances</w:t>
      </w:r>
      <w:bookmarkEnd w:id="100007"/>
    </w:p>
    <w:p>
      <w:pPr>
        <w:spacing w:after="120" w:line="312"/>
        <w:ind w:firstLine="480"/>
        <w:jc w:val="both"/>
      </w:pPr>
      <w:r>
        <w:rPr>
          <w:rFonts w:ascii="Times New Roman" w:eastAsia="SimSun"/>
          <w:color w:val="000000"/>
          <w:sz w:val="24"/>
          <w:szCs w:val="24"/>
        </w:rPr>
        <w:t xml:space="preserve">Supercritical carbon dioxide (scCO2) dyeing has emerged as the most promising waterless dyeing technology, with significant advances reported for synthetic fibers, particularly polyester. The technology operates above the critical point of CO2 (31.1 degrees C, 7.38 MPa), where it functions as a non-polar solvent capable of dissolving hydrophobic disperse dyes without water. Recent breakthroughs have focused on extending this technology to cellulosic fibers, which has remained the primary challenge due to the polar nature of cellulose and the incompatibility of reactive dyes with the scCO2 medium. Several research groups have reported promising results using reverse micelle systems and co-solvent approaches that create micro-aqueous environments within the supercritical phase, enabling reactive dye fixation on cotton with acceptable color strength values. However, commercial-scale implementation for cellulosics remains elusive, representing a significant research opportunity.</w:t>
      </w:r>
    </w:p>
    <w:p>
      <w:pPr>
        <w:pStyle w:val="Heading2"/>
        <w:spacing w:after="180" w:before="360" w:line="312"/>
        <w:jc w:val="left"/>
      </w:pPr>
      <w:bookmarkStart w:id="100008" w:name="_Toc100008"/>
      <w:r>
        <w:rPr>
          <w:rFonts w:ascii="Times New Roman" w:eastAsia="SimHei"/>
          <w:b/>
          <w:bCs/>
          <w:color w:val="1284BA"/>
          <w:sz w:val="28"/>
          <w:szCs w:val="28"/>
        </w:rPr>
        <w:t xml:space="preserve">3.2 Digital Spray Dyeing Technology</w:t>
      </w:r>
      <w:bookmarkEnd w:id="100008"/>
    </w:p>
    <w:p>
      <w:pPr>
        <w:spacing w:after="120" w:line="312"/>
        <w:ind w:firstLine="480"/>
        <w:jc w:val="both"/>
      </w:pPr>
      <w:r>
        <w:rPr>
          <w:rFonts w:ascii="Times New Roman" w:eastAsia="SimSun"/>
          <w:color w:val="000000"/>
          <w:sz w:val="24"/>
          <w:szCs w:val="24"/>
        </w:rPr>
        <w:t xml:space="preserve">Digital spray dyeing, pioneered by companies such as Imogo AB in Sweden, represents a paradigm shift in dye application methodology. Unlike conventional pad-dry-cure processes that immerse entire fabric lengths in dye liquor, digital spray systems apply dye precisely where needed using inkjet-style nozzles controlled by digital design files. This approach has demonstrated water consumption reductions of up to 90% compared to conventional methods, along with significant reductions in chemical usage, energy consumption, and effluent generation. The Imogo Dye-Max system has been successfully deployed in several European textile facilities, processing cotton, linen, and viscose fabrics with commercially acceptable fastness properties. Research challenges remain in achieving uniform penetration on heavy-weight fabrics and maintaining consistent color across large production runs, areas where academic-industry collaboration could yield significant advances.</w:t>
      </w:r>
    </w:p>
    <w:p>
      <w:pPr>
        <w:pStyle w:val="Heading2"/>
        <w:spacing w:after="180" w:before="360" w:line="312"/>
        <w:jc w:val="left"/>
      </w:pPr>
      <w:bookmarkStart w:id="100009" w:name="_Toc100009"/>
      <w:r>
        <w:rPr>
          <w:rFonts w:ascii="Times New Roman" w:eastAsia="SimHei"/>
          <w:b/>
          <w:bCs/>
          <w:color w:val="1284BA"/>
          <w:sz w:val="28"/>
          <w:szCs w:val="28"/>
        </w:rPr>
        <w:t xml:space="preserve">3.3 Plasma-Assisted Dyeing and Surface Modification</w:t>
      </w:r>
      <w:bookmarkEnd w:id="100009"/>
    </w:p>
    <w:p>
      <w:pPr>
        <w:spacing w:after="120" w:line="312"/>
        <w:ind w:firstLine="480"/>
        <w:jc w:val="both"/>
      </w:pPr>
      <w:r>
        <w:rPr>
          <w:rFonts w:ascii="Times New Roman" w:eastAsia="SimSun"/>
          <w:color w:val="000000"/>
          <w:sz w:val="24"/>
          <w:szCs w:val="24"/>
        </w:rPr>
        <w:t xml:space="preserve">Plasma technology offers a dry, solvent-free approach to textile surface modification that can dramatically improve dye uptake and functional finishing performance. Low-pressure plasma treatments using oxygen, nitrogen, or argon gases create nanoscale surface etching and functional group introduction on fiber surfaces, enhancing wettability and dye affinity without altering bulk fiber properties. Recent studies have shown that plasma pretreatment of polyester can increase disperse dye uptake by 25-40% while reducing dyeing temperature by 10-15 degrees C, yielding both environmental and energy benefits. Atmospheric pressure plasma systems, which eliminate the need for vacuum chambers, are particularly promising for continuous industrial processing. The integration of plasma treatment with scCO2 dyeing represents a novel research frontier that could simultaneously address the cellulosic dyeing challenge.</w:t>
      </w:r>
    </w:p>
    <w:p>
      <w:pPr>
        <w:pStyle w:val="Heading2"/>
        <w:spacing w:after="180" w:before="360" w:line="312"/>
        <w:jc w:val="left"/>
      </w:pPr>
      <w:bookmarkStart w:id="100010" w:name="_Toc100010"/>
      <w:r>
        <w:rPr>
          <w:rFonts w:ascii="Times New Roman" w:eastAsia="SimHei"/>
          <w:b/>
          <w:bCs/>
          <w:color w:val="1284BA"/>
          <w:sz w:val="28"/>
          <w:szCs w:val="28"/>
        </w:rPr>
        <w:t xml:space="preserve">3.4 Bio-Based Auxiliaries and Natural Dyes</w:t>
      </w:r>
      <w:bookmarkEnd w:id="100010"/>
    </w:p>
    <w:p>
      <w:pPr>
        <w:spacing w:after="120" w:line="312"/>
        <w:ind w:firstLine="480"/>
        <w:jc w:val="both"/>
      </w:pPr>
      <w:r>
        <w:rPr>
          <w:rFonts w:ascii="Times New Roman" w:eastAsia="SimSun"/>
          <w:color w:val="000000"/>
          <w:sz w:val="24"/>
          <w:szCs w:val="24"/>
        </w:rPr>
        <w:t xml:space="preserve">The bio-based auxiliaries revolution is transforming the wet processing supply chain, with enzymatic solutions, chitosan-based finishes, and plant-derived fixing agents replacing petroleum-derived chemicals. Bio-based auxiliaries for reactive dyeing of cotton have shown particular promise, with chitosan and cyclodextrin derivatives achieving fixation rates comparable to conventional salt-based systems while eliminating sodium sulfate discharge. Natural dye research has experienced a renaissance, supported by biomordant development from tannin-rich plant sources that replace heavy metal mordants. However, scalability remains the primary barrier, as natural dye extraction yields are typically 5-15% of raw material weight, requiring large cultivated areas for commercial production. The waterless dyeing market is projected to grow from $348.9 million in 2024 to approximately $780 million by 2034, at a compound annual growth rate of 9.2%, underscoring the commercial viability of research in this domain.</w:t>
      </w:r>
    </w:p>
    <w:p>
      <w:pPr>
        <w:pStyle w:val="Heading1"/>
        <w:spacing w:after="240" w:before="480" w:line="312"/>
        <w:jc w:val="left"/>
      </w:pPr>
      <w:bookmarkStart w:id="100011" w:name="_Toc100011"/>
      <w:r>
        <w:rPr>
          <w:rFonts w:ascii="Times New Roman" w:eastAsia="SimHei"/>
          <w:b/>
          <w:bCs/>
          <w:color w:val="1284BA"/>
          <w:sz w:val="32"/>
          <w:szCs w:val="32"/>
        </w:rPr>
        <w:t xml:space="preserve">4. Nanotechnology in Textile Finishing</w:t>
      </w:r>
      <w:bookmarkEnd w:id="100011"/>
    </w:p>
    <w:p>
      <w:pPr>
        <w:pStyle w:val="Heading2"/>
        <w:spacing w:after="180" w:before="360" w:line="312"/>
        <w:jc w:val="left"/>
      </w:pPr>
      <w:bookmarkStart w:id="100012" w:name="_Toc100012"/>
      <w:r>
        <w:rPr>
          <w:rFonts w:ascii="Times New Roman" w:eastAsia="SimHei"/>
          <w:b/>
          <w:bCs/>
          <w:color w:val="1284BA"/>
          <w:sz w:val="28"/>
          <w:szCs w:val="28"/>
        </w:rPr>
        <w:t xml:space="preserve">4.1 Silver Nanoparticle Antimicrobial Finishing</w:t>
      </w:r>
      <w:bookmarkEnd w:id="100012"/>
    </w:p>
    <w:p>
      <w:pPr>
        <w:spacing w:after="120" w:line="312"/>
        <w:ind w:firstLine="480"/>
        <w:jc w:val="both"/>
      </w:pPr>
      <w:r>
        <w:rPr>
          <w:rFonts w:ascii="Times New Roman" w:eastAsia="SimSun"/>
          <w:color w:val="000000"/>
          <w:sz w:val="24"/>
          <w:szCs w:val="24"/>
        </w:rPr>
        <w:t xml:space="preserve">Silver nanoparticle (AgNP) antimicrobial finishing remains the most commercially mature nano-finishing application in textiles, with products ranging from medical textiles to sportswear and home textiles. The mechanism involves the sustained release of silver ions that disrupt bacterial cell membrane integrity and inhibit enzyme function. Recent advances focus on controlling AgNP size distribution to the 5-20 nm range for optimal ion release kinetics, and on developing binders that maintain nanoparticle dispersion during washing. In-situ synthesis approaches, where silver ions are reduced directly on fiber surfaces using plant extracts as reducing agents, have gained popularity as green synthesis alternatives to chemical reduction methods. However, concerns about silver nanoparticle release into aquatic ecosystems during washing cycles have prompted regulatory scrutiny, particularly in the European Union, driving research toward immobilization strategies and alternative antimicrobial nanoparticles.</w:t>
      </w:r>
    </w:p>
    <w:p>
      <w:pPr>
        <w:pStyle w:val="Heading2"/>
        <w:spacing w:after="180" w:before="360" w:line="312"/>
        <w:jc w:val="left"/>
      </w:pPr>
      <w:bookmarkStart w:id="100013" w:name="_Toc100013"/>
      <w:r>
        <w:rPr>
          <w:rFonts w:ascii="Times New Roman" w:eastAsia="SimHei"/>
          <w:b/>
          <w:bCs/>
          <w:color w:val="1284BA"/>
          <w:sz w:val="28"/>
          <w:szCs w:val="28"/>
        </w:rPr>
        <w:t xml:space="preserve">4.2 ZnO and TiO2 Nanoparticle Applications</w:t>
      </w:r>
      <w:bookmarkEnd w:id="100013"/>
    </w:p>
    <w:p>
      <w:pPr>
        <w:spacing w:after="120" w:line="312"/>
        <w:ind w:firstLine="480"/>
        <w:jc w:val="both"/>
      </w:pPr>
      <w:r>
        <w:rPr>
          <w:rFonts w:ascii="Times New Roman" w:eastAsia="SimSun"/>
          <w:color w:val="000000"/>
          <w:sz w:val="24"/>
          <w:szCs w:val="24"/>
        </w:rPr>
        <w:t xml:space="preserve">Zinc oxide nanoparticles have demonstrated exceptional UV resistance improvement of up to 90% when applied as textile finishes, with the added benefit of inherent antimicrobial activity. ZnO nano-rods and nano-flowers provide superior UV blocking compared to spherical particles due to enhanced light scattering from their anisotropic morphology. Titanium dioxide nanoparticles, particularly in the anatase form, serve as photocatalytic multifunctional finishing agents that provide simultaneous UV protection, self-cleaning functionality through organic pollutant degradation under UV exposure, and antimicrobial activity. The combination of ZnO and TiO2 nanoparticles in hybrid coatings has shown synergistic effects, achieving UPF ratings above 50+ while maintaining fabric hand and breathability. Research challenges include preventing nanoparticle agglomeration during application and achieving uniform distribution on complex fabric architectures.</w:t>
      </w:r>
    </w:p>
    <w:p>
      <w:pPr>
        <w:pStyle w:val="Heading2"/>
        <w:spacing w:after="180" w:before="360" w:line="312"/>
        <w:jc w:val="left"/>
      </w:pPr>
      <w:bookmarkStart w:id="100014" w:name="_Toc100014"/>
      <w:r>
        <w:rPr>
          <w:rFonts w:ascii="Times New Roman" w:eastAsia="SimHei"/>
          <w:b/>
          <w:bCs/>
          <w:color w:val="1284BA"/>
          <w:sz w:val="28"/>
          <w:szCs w:val="28"/>
        </w:rPr>
        <w:t xml:space="preserve">4.3 Green Nano-Finishing Approaches</w:t>
      </w:r>
      <w:bookmarkEnd w:id="100014"/>
    </w:p>
    <w:p>
      <w:pPr>
        <w:spacing w:after="120" w:line="312"/>
        <w:ind w:firstLine="480"/>
        <w:jc w:val="both"/>
      </w:pPr>
      <w:r>
        <w:rPr>
          <w:rFonts w:ascii="Times New Roman" w:eastAsia="SimSun"/>
          <w:color w:val="000000"/>
          <w:sz w:val="24"/>
          <w:szCs w:val="24"/>
        </w:rPr>
        <w:t xml:space="preserve">Green nano-finishing represents an emerging paradigm that combines nanotechnology with sustainability principles, using plant extracts, microbial synthesis, and biodegradable carriers for nanoparticle production and application. Chitosan-stabilized nanoparticles, biosynthesized ZnO using Aloe vera or Azadirachta indica extracts, and cellulose nanocrystal carriers have all demonstrated promising results in producing functional nano-finishes without toxic precursors or solvents. These approaches align with the broader sustainability trajectory of textile research and address growing consumer demand for transparency in chemical inputs.</w:t>
      </w:r>
    </w:p>
    <w:p>
      <w:pPr>
        <w:pStyle w:val="Heading2"/>
        <w:spacing w:after="180" w:before="360" w:line="312"/>
        <w:jc w:val="left"/>
      </w:pPr>
      <w:bookmarkStart w:id="100015" w:name="_Toc100015"/>
      <w:r>
        <w:rPr>
          <w:rFonts w:ascii="Times New Roman" w:eastAsia="SimHei"/>
          <w:b/>
          <w:bCs/>
          <w:color w:val="1284BA"/>
          <w:sz w:val="28"/>
          <w:szCs w:val="28"/>
        </w:rPr>
        <w:t xml:space="preserve">4.4 Research Gap: Wash Durability of Nano-Coatings</w:t>
      </w:r>
      <w:bookmarkEnd w:id="100015"/>
    </w:p>
    <w:p>
      <w:pPr>
        <w:spacing w:after="120" w:line="312"/>
        <w:ind w:firstLine="480"/>
        <w:jc w:val="both"/>
      </w:pPr>
      <w:r>
        <w:rPr>
          <w:rFonts w:ascii="Times New Roman" w:eastAsia="SimSun"/>
          <w:color w:val="000000"/>
          <w:sz w:val="24"/>
          <w:szCs w:val="24"/>
        </w:rPr>
        <w:t xml:space="preserve">The most critical research gap in nano-finishing is the wash durability of nanoparticle coatings. Most reported nano-finishes show significant functional degradation after 20-30 washing cycles, with antimicrobial efficacy typically declining by 40-60% and UV protection decreasing by 30-50%. This gap represents a major barrier to commercial adoption, as textile products typically require functional retention through 50-100 washing cycles. Cross-linking strategies using citric acid, polycarboxylic acids, and silane coupling agents have shown partial improvements, but achieving durable nano-finishing without compromising fabric hand, breathability, and appearance remains an unsolved challenge. Researchers who develop breakthrough wash-durable nano-coating systems would address a high-impact need with substantial commercial value.</w:t>
      </w:r>
    </w:p>
    <w:p>
      <w:pPr>
        <w:pStyle w:val="Heading1"/>
        <w:spacing w:after="240" w:before="480" w:line="312"/>
        <w:jc w:val="left"/>
      </w:pPr>
      <w:bookmarkStart w:id="100016" w:name="_Toc100016"/>
      <w:r>
        <w:rPr>
          <w:rFonts w:ascii="Times New Roman" w:eastAsia="SimHei"/>
          <w:b/>
          <w:bCs/>
          <w:color w:val="1284BA"/>
          <w:sz w:val="32"/>
          <w:szCs w:val="32"/>
        </w:rPr>
        <w:t xml:space="preserve">5. Smart &amp; Functional Textiles</w:t>
      </w:r>
      <w:bookmarkEnd w:id="100016"/>
    </w:p>
    <w:p>
      <w:pPr>
        <w:pStyle w:val="Heading2"/>
        <w:spacing w:after="180" w:before="360" w:line="312"/>
        <w:jc w:val="left"/>
      </w:pPr>
      <w:bookmarkStart w:id="100017" w:name="_Toc100017"/>
      <w:r>
        <w:rPr>
          <w:rFonts w:ascii="Times New Roman" w:eastAsia="SimHei"/>
          <w:b/>
          <w:bCs/>
          <w:color w:val="1284BA"/>
          <w:sz w:val="28"/>
          <w:szCs w:val="28"/>
        </w:rPr>
        <w:t xml:space="preserve">5.1 Self-Powered Smart Textiles</w:t>
      </w:r>
      <w:bookmarkEnd w:id="100017"/>
    </w:p>
    <w:p>
      <w:pPr>
        <w:spacing w:after="120" w:line="312"/>
        <w:ind w:firstLine="480"/>
        <w:jc w:val="both"/>
      </w:pPr>
      <w:r>
        <w:rPr>
          <w:rFonts w:ascii="Times New Roman" w:eastAsia="SimSun"/>
          <w:color w:val="000000"/>
          <w:sz w:val="24"/>
          <w:szCs w:val="24"/>
        </w:rPr>
        <w:t xml:space="preserve">Self-powered smart textiles based on triboelectric nanogenerators (TENG) and piezoelectric nanogenerators (PENG) represent one of the most innovative research frontiers in the textile field. These systems harvest mechanical energy from body movement, ambient vibration, or wind to power integrated sensors and communication devices without external batteries. TENG-based textile systems have achieved power densities of 2-12 W/m2, sufficient to operate low-power health monitoring sensors, while PENG systems using PVDF nanofibers have demonstrated sustained voltage outputs of 20-80V under normal human motion conditions. Recent advances include washable TENG structures using encapsulated electrode designs and stretchable PENG arrays integrated into compression garments for continuous physiological monitoring.</w:t>
      </w:r>
    </w:p>
    <w:p>
      <w:pPr>
        <w:pStyle w:val="Heading2"/>
        <w:spacing w:after="180" w:before="360" w:line="312"/>
        <w:jc w:val="left"/>
      </w:pPr>
      <w:bookmarkStart w:id="100018" w:name="_Toc100018"/>
      <w:r>
        <w:rPr>
          <w:rFonts w:ascii="Times New Roman" w:eastAsia="SimHei"/>
          <w:b/>
          <w:bCs/>
          <w:color w:val="1284BA"/>
          <w:sz w:val="28"/>
          <w:szCs w:val="28"/>
        </w:rPr>
        <w:t xml:space="preserve">5.2 Wearable Health Monitoring Fabrics</w:t>
      </w:r>
      <w:bookmarkEnd w:id="100018"/>
    </w:p>
    <w:p>
      <w:pPr>
        <w:spacing w:after="120" w:line="312"/>
        <w:ind w:firstLine="480"/>
        <w:jc w:val="both"/>
      </w:pPr>
      <w:r>
        <w:rPr>
          <w:rFonts w:ascii="Times New Roman" w:eastAsia="SimSun"/>
          <w:color w:val="000000"/>
          <w:sz w:val="24"/>
          <w:szCs w:val="24"/>
        </w:rPr>
        <w:t xml:space="preserve">Wearable health monitoring fabrics have evolved from laboratory prototypes to commercially viable products, driven by advances in conductive yarn manufacturing, flexible sensor integration, and low-power wireless communication. Key monitoring capabilities now include heart rate, respiratory rate, body temperature, blood oxygen saturation, and electromyography signals. Textile-based electrode systems using silver-plated nylon or stainless steel fibers have achieved signal quality comparable to conventional gel electrodes for ECG monitoring, while maintaining comfort and washability. The integration of machine learning algorithms for real-time health data analysis directly on textile-embedded microcontrollers represents the next frontier, enabling predictive health monitoring rather than simple data collection.</w:t>
      </w:r>
    </w:p>
    <w:p>
      <w:pPr>
        <w:pStyle w:val="Heading2"/>
        <w:spacing w:after="180" w:before="360" w:line="312"/>
        <w:jc w:val="left"/>
      </w:pPr>
      <w:bookmarkStart w:id="100019" w:name="_Toc100019"/>
      <w:r>
        <w:rPr>
          <w:rFonts w:ascii="Times New Roman" w:eastAsia="SimHei"/>
          <w:b/>
          <w:bCs/>
          <w:color w:val="1284BA"/>
          <w:sz w:val="28"/>
          <w:szCs w:val="28"/>
        </w:rPr>
        <w:t xml:space="preserve">5.3 Multi-Functional Coatings and PFAS-Free Finishing</w:t>
      </w:r>
      <w:bookmarkEnd w:id="100019"/>
    </w:p>
    <w:p>
      <w:pPr>
        <w:spacing w:after="120" w:line="312"/>
        <w:ind w:firstLine="480"/>
        <w:jc w:val="both"/>
      </w:pPr>
      <w:r>
        <w:rPr>
          <w:rFonts w:ascii="Times New Roman" w:eastAsia="SimSun"/>
          <w:color w:val="000000"/>
          <w:sz w:val="24"/>
          <w:szCs w:val="24"/>
        </w:rPr>
        <w:t xml:space="preserve">Multi-functional textile coatings that simultaneously provide antimicrobial, UV protective, flame retardant, and self-cleaning properties represent a significant research advancement, as traditional approaches required separate chemical treatments that were often incompatible. Nanocomposite coatings combining AgNPs, TiO2, and phytic acid-based flame retardants in a single sol-gel matrix have achieved all four functionalities with acceptable individual performance levels. PFAS-free water repellent finishing has become a critical research priority following regulatory actions in the EU, US, and Asia targeting per- and polyfluoroalkyl substances. Bio-based alternatives using wax emulsions, silicone-modified polysiloxanes, and chitosan-silica hybrid coatings have achieved water contact angles of 140-155 degrees, approaching the performance of C8 fluorocarbon finishes. However, achieving simultaneous oil repellency without PFAS remains an unsolved challenge, representing a key research opportunity.</w:t>
      </w:r>
    </w:p>
    <w:p>
      <w:pPr>
        <w:pStyle w:val="Heading2"/>
        <w:spacing w:after="180" w:before="360" w:line="312"/>
        <w:jc w:val="left"/>
      </w:pPr>
      <w:bookmarkStart w:id="100020" w:name="_Toc100020"/>
      <w:r>
        <w:rPr>
          <w:rFonts w:ascii="Times New Roman" w:eastAsia="SimHei"/>
          <w:b/>
          <w:bCs/>
          <w:color w:val="1284BA"/>
          <w:sz w:val="28"/>
          <w:szCs w:val="28"/>
        </w:rPr>
        <w:t xml:space="preserve">5.4 Smart Medical Textiles</w:t>
      </w:r>
      <w:bookmarkEnd w:id="100020"/>
    </w:p>
    <w:p>
      <w:pPr>
        <w:spacing w:after="120" w:line="312"/>
        <w:ind w:firstLine="480"/>
        <w:jc w:val="both"/>
      </w:pPr>
      <w:r>
        <w:rPr>
          <w:rFonts w:ascii="Times New Roman" w:eastAsia="SimSun"/>
          <w:color w:val="000000"/>
          <w:sz w:val="24"/>
          <w:szCs w:val="24"/>
        </w:rPr>
        <w:t xml:space="preserve">Smart medical textiles and bandages represent a rapidly growing application area, with functionalities including wound infection detection through pH-responsive colorimetric sensors, controlled drug release using temperature or moisture-responsive hydrogels, and compression monitoring for venous ulcer treatment. The smart textiles market is projected to grow from $2.41 billion to $5.56 billion by 2030, with medical applications comprising approximately 35% of the total market value. Self-healing antimicrobial coatings that regenerate antimicrobial activity after washing represent a particularly promising research direction for medical textile applications.</w:t>
      </w:r>
    </w:p>
    <w:p>
      <w:pPr>
        <w:pStyle w:val="Heading1"/>
        <w:spacing w:after="240" w:before="480" w:line="312"/>
        <w:jc w:val="left"/>
      </w:pPr>
      <w:bookmarkStart w:id="100021" w:name="_Toc100021"/>
      <w:r>
        <w:rPr>
          <w:rFonts w:ascii="Times New Roman" w:eastAsia="SimHei"/>
          <w:b/>
          <w:bCs/>
          <w:color w:val="1284BA"/>
          <w:sz w:val="32"/>
          <w:szCs w:val="32"/>
        </w:rPr>
        <w:t xml:space="preserve">6. AI &amp; Industry 4.0 in Textile Manufacturing</w:t>
      </w:r>
      <w:bookmarkEnd w:id="100021"/>
    </w:p>
    <w:p>
      <w:pPr>
        <w:pStyle w:val="Heading2"/>
        <w:spacing w:after="180" w:before="360" w:line="312"/>
        <w:jc w:val="left"/>
      </w:pPr>
      <w:bookmarkStart w:id="100022" w:name="_Toc100022"/>
      <w:r>
        <w:rPr>
          <w:rFonts w:ascii="Times New Roman" w:eastAsia="SimHei"/>
          <w:b/>
          <w:bCs/>
          <w:color w:val="1284BA"/>
          <w:sz w:val="28"/>
          <w:szCs w:val="28"/>
        </w:rPr>
        <w:t xml:space="preserve">6.1 AI-Driven Dyeing Optimization</w:t>
      </w:r>
      <w:bookmarkEnd w:id="100022"/>
    </w:p>
    <w:p>
      <w:pPr>
        <w:spacing w:after="120" w:line="312"/>
        <w:ind w:firstLine="480"/>
        <w:jc w:val="both"/>
      </w:pPr>
      <w:r>
        <w:rPr>
          <w:rFonts w:ascii="Times New Roman" w:eastAsia="SimSun"/>
          <w:color w:val="000000"/>
          <w:sz w:val="24"/>
          <w:szCs w:val="24"/>
        </w:rPr>
        <w:t xml:space="preserve">AI-driven dyeing optimization has moved from theoretical feasibility studies to practical industrial implementation, with several textile manufacturers in China, Turkey, and Bangladesh deploying machine learning models for shade prediction and recipe optimization. Neural network models trained on historical dyeing data have demonstrated shade prediction accuracy of over 95% for reactive dyeing of cotton, reducing the number of laboratory trials required by 60-80%. Reinforcement learning approaches that dynamically adjust dyeing parameters (temperature, time, chemical concentrations) based on real-time color measurement feedback have shown potential for reducing dye consumption by 10-15% while improving first-pass right-first-time rates from typical industry averages of 65-70% to above 85%. The economic impact is substantial: a single percentage point improvement in right-first-time dyeing can save a medium-sized dyeing facility $200,000-500,000 annually in rework costs, chemical consumption, and energy expenditure.</w:t>
      </w:r>
    </w:p>
    <w:p>
      <w:pPr>
        <w:pStyle w:val="Heading2"/>
        <w:spacing w:after="180" w:before="360" w:line="312"/>
        <w:jc w:val="left"/>
      </w:pPr>
      <w:bookmarkStart w:id="100023" w:name="_Toc100023"/>
      <w:r>
        <w:rPr>
          <w:rFonts w:ascii="Times New Roman" w:eastAsia="SimHei"/>
          <w:b/>
          <w:bCs/>
          <w:color w:val="1284BA"/>
          <w:sz w:val="28"/>
          <w:szCs w:val="28"/>
        </w:rPr>
        <w:t xml:space="preserve">6.2 Deep Learning for Defect Detection</w:t>
      </w:r>
      <w:bookmarkEnd w:id="100023"/>
    </w:p>
    <w:p>
      <w:pPr>
        <w:spacing w:after="120" w:line="312"/>
        <w:ind w:firstLine="480"/>
        <w:jc w:val="both"/>
      </w:pPr>
      <w:r>
        <w:rPr>
          <w:rFonts w:ascii="Times New Roman" w:eastAsia="SimSun"/>
          <w:color w:val="000000"/>
          <w:sz w:val="24"/>
          <w:szCs w:val="24"/>
        </w:rPr>
        <w:t xml:space="preserve">Deep learning-based defect detection has become one of the most researched AI applications in textile manufacturing, with the YOLO (You Only Look Once) architecture family dominating recent publications. YOLOv11, the latest iteration, achieves real-time defect detection rates exceeding 30 frames per second with mean average precision above 92% for common fabric defects including broken ends, oil stains, weft cracks, and snarl marks. Transfer learning approaches have enabled effective defect detection even with limited labeled training data, addressing a key practical barrier in manufacturing environments where defect samples are scarce. The integration of defect detection systems with automated cutting and sorting equipment represents the next level of Industry 4.0 implementation, enabling closed-loop quality control without human intervention.</w:t>
      </w:r>
    </w:p>
    <w:p>
      <w:pPr>
        <w:pStyle w:val="Heading2"/>
        <w:spacing w:after="180" w:before="360" w:line="312"/>
        <w:jc w:val="left"/>
      </w:pPr>
      <w:bookmarkStart w:id="100024" w:name="_Toc100024"/>
      <w:r>
        <w:rPr>
          <w:rFonts w:ascii="Times New Roman" w:eastAsia="SimHei"/>
          <w:b/>
          <w:bCs/>
          <w:color w:val="1284BA"/>
          <w:sz w:val="28"/>
          <w:szCs w:val="28"/>
        </w:rPr>
        <w:t xml:space="preserve">6.3 Digital Twins for Wet Processing</w:t>
      </w:r>
      <w:bookmarkEnd w:id="100024"/>
    </w:p>
    <w:p>
      <w:pPr>
        <w:spacing w:after="120" w:line="312"/>
        <w:ind w:firstLine="480"/>
        <w:jc w:val="both"/>
      </w:pPr>
      <w:r>
        <w:rPr>
          <w:rFonts w:ascii="Times New Roman" w:eastAsia="SimSun"/>
          <w:color w:val="000000"/>
          <w:sz w:val="24"/>
          <w:szCs w:val="24"/>
        </w:rPr>
        <w:t xml:space="preserve">Digital twin frameworks for textile wet processing represent an entirely novel research frontier with no established published frameworks as of early 2026. A digital twin would create a virtual replica of a dyeing or finishing process that mirrors the physical system in real-time, enabling predictive process optimization, fault diagnosis, and scenario testing without disrupting production. The potential benefits include 15-25% reduction in process time, 10-20% reduction in chemical consumption, and significant improvement in quality consistency. The absence of published digital twin frameworks for wet processing represents both a significant research gap and an extraordinary publication opportunity for researchers who develop and validate such systems.</w:t>
      </w:r>
    </w:p>
    <w:p>
      <w:pPr>
        <w:pStyle w:val="Heading2"/>
        <w:spacing w:after="180" w:before="360" w:line="312"/>
        <w:jc w:val="left"/>
      </w:pPr>
      <w:bookmarkStart w:id="100025" w:name="_Toc100025"/>
      <w:r>
        <w:rPr>
          <w:rFonts w:ascii="Times New Roman" w:eastAsia="SimHei"/>
          <w:b/>
          <w:bCs/>
          <w:color w:val="1284BA"/>
          <w:sz w:val="28"/>
          <w:szCs w:val="28"/>
        </w:rPr>
        <w:t xml:space="preserve">6.4 Industry 4.0 Implementation Barriers</w:t>
      </w:r>
      <w:bookmarkEnd w:id="100025"/>
    </w:p>
    <w:p>
      <w:pPr>
        <w:spacing w:after="120" w:line="312"/>
        <w:ind w:firstLine="480"/>
        <w:jc w:val="both"/>
      </w:pPr>
      <w:r>
        <w:rPr>
          <w:rFonts w:ascii="Times New Roman" w:eastAsia="SimSun"/>
          <w:color w:val="000000"/>
          <w:sz w:val="24"/>
          <w:szCs w:val="24"/>
        </w:rPr>
        <w:t xml:space="preserve">Despite the promise of Industry 4.0, implementation in textile manufacturing faces significant barriers, particularly for small and medium enterprises (SMEs) that comprise over 80% of the global textile manufacturing sector. Key barriers include high initial investment costs for sensor networks and computing infrastructure, lack of in-house data science expertise, data quality and standardization challenges, and cybersecurity concerns. Hybrid optimization approaches combining response surface methodology (RSM) with artificial neural networks (ANN) and genetic algorithms (GA) offer a practical middle ground, providing significant process optimization with lower computational requirements and data demands than full deep learning approaches. The AI textile manufacturing market reached $1.48 billion in 2024, with projections suggesting strong continued growth as implementation tools become more accessible.</w:t>
      </w:r>
    </w:p>
    <w:p>
      <w:pPr>
        <w:pStyle w:val="Heading1"/>
        <w:spacing w:after="240" w:before="480" w:line="312"/>
        <w:jc w:val="left"/>
      </w:pPr>
      <w:bookmarkStart w:id="100026" w:name="_Toc100026"/>
      <w:r>
        <w:rPr>
          <w:rFonts w:ascii="Times New Roman" w:eastAsia="SimHei"/>
          <w:b/>
          <w:bCs/>
          <w:color w:val="1284BA"/>
          <w:sz w:val="32"/>
          <w:szCs w:val="32"/>
        </w:rPr>
        <w:t xml:space="preserve">7. Circular Economy &amp; Sustainable Textile Processing</w:t>
      </w:r>
      <w:bookmarkEnd w:id="100026"/>
    </w:p>
    <w:p>
      <w:pPr>
        <w:pStyle w:val="Heading2"/>
        <w:spacing w:after="180" w:before="360" w:line="312"/>
        <w:jc w:val="left"/>
      </w:pPr>
      <w:bookmarkStart w:id="100027" w:name="_Toc100027"/>
      <w:r>
        <w:rPr>
          <w:rFonts w:ascii="Times New Roman" w:eastAsia="SimHei"/>
          <w:b/>
          <w:bCs/>
          <w:color w:val="1284BA"/>
          <w:sz w:val="28"/>
          <w:szCs w:val="28"/>
        </w:rPr>
        <w:t xml:space="preserve">7.1 Chemical Recycling Breakthroughs</w:t>
      </w:r>
      <w:bookmarkEnd w:id="100027"/>
    </w:p>
    <w:p>
      <w:pPr>
        <w:spacing w:after="120" w:line="312"/>
        <w:ind w:firstLine="480"/>
        <w:jc w:val="both"/>
      </w:pPr>
      <w:r>
        <w:rPr>
          <w:rFonts w:ascii="Times New Roman" w:eastAsia="SimSun"/>
          <w:color w:val="000000"/>
          <w:sz w:val="24"/>
          <w:szCs w:val="24"/>
        </w:rPr>
        <w:t xml:space="preserve">Chemical recycling of polyester has achieved several breakthroughs in recent years, with glycolysis and hydrolysis processes now capable of recovering monomers at purities suitable for re-polymerization into virgin-equivalent polyester fiber. Companies such as Eastman, Gr3n, and Worn Again Technologies have demonstrated commercial-scale chemical recycling with monomer recovery rates above 95%, addressing the quality degradation issues that plague mechanical recycling. For cellulosic textiles, the renewal of dissolving pulp processes using ionic liquids and NMMO (N-methylmorpholine N-oxide) has enabled fiber-to-fiber recycling of cotton waste into regenerated cellulose fibers comparable to lyocell in quality. These advances represent a fundamental shift from the linear take-make-dispose model to a circular system where textile waste becomes the primary feedstock for new fiber production.</w:t>
      </w:r>
    </w:p>
    <w:p>
      <w:pPr>
        <w:pStyle w:val="Heading2"/>
        <w:spacing w:after="180" w:before="360" w:line="312"/>
        <w:jc w:val="left"/>
      </w:pPr>
      <w:bookmarkStart w:id="100028" w:name="_Toc100028"/>
      <w:r>
        <w:rPr>
          <w:rFonts w:ascii="Times New Roman" w:eastAsia="SimHei"/>
          <w:b/>
          <w:bCs/>
          <w:color w:val="1284BA"/>
          <w:sz w:val="28"/>
          <w:szCs w:val="28"/>
        </w:rPr>
        <w:t xml:space="preserve">7.2 EU Regulatory Landscape and Targets</w:t>
      </w:r>
      <w:bookmarkEnd w:id="100028"/>
    </w:p>
    <w:p>
      <w:pPr>
        <w:spacing w:after="120" w:line="312"/>
        <w:ind w:firstLine="480"/>
        <w:jc w:val="both"/>
      </w:pPr>
      <w:r>
        <w:rPr>
          <w:rFonts w:ascii="Times New Roman" w:eastAsia="SimSun"/>
          <w:color w:val="000000"/>
          <w:sz w:val="24"/>
          <w:szCs w:val="24"/>
        </w:rPr>
        <w:t xml:space="preserve">The European Union has established the most comprehensive regulatory framework for textile circularity globally. The EU Strategy for Sustainable and Circular Textiles (2022) mandates separate textile waste collection from 2025, introduces Digital Product Passports by 2027, and sets targets for textile-to-textile recycling rates. The revised Waste Framework Directive includes targets for textile waste preparation for re-use and recycling, while the Ecodesign for Sustainable Products Regulation establishes durability, reparability, and recyclability requirements for textile products. These regulatory drivers create both urgency and market opportunity for circular textile technologies. Analysis suggests that achieving 10% textile-to-textile recycling from the current estimated 1% could save approximately 440,000 tonnes of CO2 equivalent emissions per year in Europe alone.</w:t>
      </w:r>
    </w:p>
    <w:p>
      <w:pPr>
        <w:pStyle w:val="Heading2"/>
        <w:spacing w:after="180" w:before="360" w:line="312"/>
        <w:jc w:val="left"/>
      </w:pPr>
      <w:bookmarkStart w:id="100029" w:name="_Toc100029"/>
      <w:r>
        <w:rPr>
          <w:rFonts w:ascii="Times New Roman" w:eastAsia="SimHei"/>
          <w:b/>
          <w:bCs/>
          <w:color w:val="1284BA"/>
          <w:sz w:val="28"/>
          <w:szCs w:val="28"/>
        </w:rPr>
        <w:t xml:space="preserve">7.3 Bio-Based and Biodegradable Alternatives</w:t>
      </w:r>
      <w:bookmarkEnd w:id="100029"/>
    </w:p>
    <w:p>
      <w:pPr>
        <w:spacing w:after="120" w:line="312"/>
        <w:ind w:firstLine="480"/>
        <w:jc w:val="both"/>
      </w:pPr>
      <w:r>
        <w:rPr>
          <w:rFonts w:ascii="Times New Roman" w:eastAsia="SimSun"/>
          <w:color w:val="000000"/>
          <w:sz w:val="24"/>
          <w:szCs w:val="24"/>
        </w:rPr>
        <w:t xml:space="preserve">Bio-based and biodegradable textile materials have gained significant research attention as complementary approaches to mechanical and chemical recycling. Polylactic acid (PLA) fibers from corn starch, polyhydroxyalkanoate (PHA) fibers from bacterial fermentation, and mycelium-based leather alternatives have all progressed from laboratory curiosities to commercial products. However, challenges remain in achieving performance parity with conventional synthetic fibers, particularly in moisture management, dimensional stability, and cost competitiveness. Biodegradability testing standards and certification frameworks are still evolving, creating confusion among consumers and manufacturers about genuine environmental claims. Research into controlled biodegradation systems that maintain performance during use but decompose under specific composting conditions represents a promising frontier.</w:t>
      </w:r>
    </w:p>
    <w:p>
      <w:pPr>
        <w:pStyle w:val="Heading1"/>
        <w:spacing w:after="240" w:before="480" w:line="312"/>
        <w:jc w:val="left"/>
      </w:pPr>
      <w:bookmarkStart w:id="100030" w:name="_Toc100030"/>
      <w:r>
        <w:rPr>
          <w:rFonts w:ascii="Times New Roman" w:eastAsia="SimHei"/>
          <w:b/>
          <w:bCs/>
          <w:color w:val="1284BA"/>
          <w:sz w:val="32"/>
          <w:szCs w:val="32"/>
        </w:rPr>
        <w:t xml:space="preserve">8. Country-wise Research Analysis</w:t>
      </w:r>
      <w:bookmarkEnd w:id="100030"/>
    </w:p>
    <w:p>
      <w:pPr>
        <w:pStyle w:val="Heading2"/>
        <w:spacing w:after="180" w:before="360" w:line="312"/>
        <w:jc w:val="left"/>
      </w:pPr>
      <w:bookmarkStart w:id="100031" w:name="_Toc100031"/>
      <w:r>
        <w:rPr>
          <w:rFonts w:ascii="Times New Roman" w:eastAsia="SimHei"/>
          <w:b/>
          <w:bCs/>
          <w:color w:val="1284BA"/>
          <w:sz w:val="28"/>
          <w:szCs w:val="28"/>
        </w:rPr>
        <w:t xml:space="preserve">8.1 China's Dominance in Textile Research</w:t>
      </w:r>
      <w:bookmarkEnd w:id="100031"/>
    </w:p>
    <w:p>
      <w:pPr>
        <w:spacing w:after="120" w:line="312"/>
        <w:ind w:firstLine="480"/>
        <w:jc w:val="both"/>
      </w:pPr>
      <w:r>
        <w:rPr>
          <w:rFonts w:ascii="Times New Roman" w:eastAsia="SimSun"/>
          <w:color w:val="000000"/>
          <w:sz w:val="24"/>
          <w:szCs w:val="24"/>
        </w:rPr>
        <w:t xml:space="preserve">China has established overwhelming dominance in textile engineering research, with approximately 48% of the top 50 textile research universities globally and the highest publication volume across all six major research domains analyzed in this report. This dominance reflects China's position as the world's largest textile manufacturer, substantial government investment in textile research infrastructure, and the scale of its academic system. Chinese institutions lead particularly strongly in sustainable wet processing, nanotechnology finishing, and AI-driven manufacturing research. Donghua University, Soochow University, Wuhan Textile University, and Zhejiang Sci-Tech University are consistently ranked among the top global institutions by publication volume and citation impact in textile-specific journals.</w:t>
      </w:r>
    </w:p>
    <w:p>
      <w:pPr>
        <w:pStyle w:val="Heading2"/>
        <w:spacing w:after="180" w:before="360" w:line="312"/>
        <w:jc w:val="left"/>
      </w:pPr>
      <w:bookmarkStart w:id="100032" w:name="_Toc100032"/>
      <w:r>
        <w:rPr>
          <w:rFonts w:ascii="Times New Roman" w:eastAsia="SimHei"/>
          <w:b/>
          <w:bCs/>
          <w:color w:val="1284BA"/>
          <w:sz w:val="28"/>
          <w:szCs w:val="28"/>
        </w:rPr>
        <w:t xml:space="preserve">8.2 Key Research Strengths by Country</w:t>
      </w:r>
      <w:bookmarkEnd w:id="100032"/>
    </w:p>
    <w:p>
      <w:pPr>
        <w:spacing w:after="120" w:line="312"/>
        <w:ind w:firstLine="480"/>
        <w:jc w:val="both"/>
      </w:pPr>
      <w:r>
        <w:rPr>
          <w:rFonts w:ascii="Times New Roman" w:eastAsia="SimSun"/>
          <w:color w:val="000000"/>
          <w:sz w:val="24"/>
          <w:szCs w:val="24"/>
        </w:rPr>
        <w:t xml:space="preserve">Beyond China, several countries have developed distinctive research strengths in specific textile domains. Turkey has emerged as a significant contributor in sustainable dyeing and effluent treatment research, leveraging its position as the sixth-largest textile exporter. India contributes substantially to natural dye research, handloom technology modernization, and agricultural textile applications, reflecting its dual textile tradition and agricultural economy. South Korea leads in smart textile and wearable electronics research, supported by its strong electronics industry. Germany and Italy maintain research leadership in high-tech textile machinery and Industry 4.0 implementation, while Scandinavian countries, particularly Sweden and Denmark, lead in sustainable process innovation and circular economy research. The United Kingdom and United States contribute primarily in biomedical textiles and advanced functional materials.</w:t>
      </w:r>
    </w:p>
    <w:p>
      <w:pPr>
        <w:pStyle w:val="Heading2"/>
        <w:spacing w:after="180" w:before="360" w:line="312"/>
        <w:jc w:val="left"/>
      </w:pPr>
      <w:bookmarkStart w:id="100033" w:name="_Toc100033"/>
      <w:r>
        <w:rPr>
          <w:rFonts w:ascii="Times New Roman" w:eastAsia="SimHei"/>
          <w:b/>
          <w:bCs/>
          <w:color w:val="1284BA"/>
          <w:sz w:val="28"/>
          <w:szCs w:val="28"/>
        </w:rPr>
        <w:t xml:space="preserve">8.3 International Collaboration Patterns</w:t>
      </w:r>
      <w:bookmarkEnd w:id="100033"/>
    </w:p>
    <w:p>
      <w:pPr>
        <w:spacing w:after="120" w:line="312"/>
        <w:ind w:firstLine="480"/>
        <w:jc w:val="both"/>
      </w:pPr>
      <w:r>
        <w:rPr>
          <w:rFonts w:ascii="Times New Roman" w:eastAsia="SimSun"/>
          <w:color w:val="000000"/>
          <w:sz w:val="24"/>
          <w:szCs w:val="24"/>
        </w:rPr>
        <w:t xml:space="preserve">International collaboration in textile research has increased significantly, with the proportion of co-authored publications involving researchers from two or more countries growing from approximately 18% in 2017 to over 32% in 2025. The most active collaboration corridors include China-USA (particularly in nanotechnology and smart textiles), China-UK (in sustainable processing), and Turkey-Germany (in Industry 4.0 applications). The EU's Horizon Europe program has been a significant enabler of cross-European textile research collaboration. However, collaboration between developed and developing country textile researchers remains limited, with major textile-producing nations such as Bangladesh, Vietnam, and Pakistan significantly underrepresented in the indexed research literature despite their substantial manufacturing capacity.</w:t>
      </w:r>
    </w:p>
    <w:p>
      <w:pPr>
        <w:pStyle w:val="Heading2"/>
        <w:spacing w:after="180" w:before="360" w:line="312"/>
        <w:jc w:val="left"/>
      </w:pPr>
      <w:bookmarkStart w:id="100034" w:name="_Toc100034"/>
      <w:r>
        <w:rPr>
          <w:rFonts w:ascii="Times New Roman" w:eastAsia="SimHei"/>
          <w:b/>
          <w:bCs/>
          <w:color w:val="1284BA"/>
          <w:sz w:val="28"/>
          <w:szCs w:val="28"/>
        </w:rPr>
        <w:t xml:space="preserve">8.4 Underrepresented Regions</w:t>
      </w:r>
      <w:bookmarkEnd w:id="100034"/>
    </w:p>
    <w:p>
      <w:pPr>
        <w:spacing w:after="120" w:line="312"/>
        <w:ind w:firstLine="480"/>
        <w:jc w:val="both"/>
      </w:pPr>
      <w:r>
        <w:rPr>
          <w:rFonts w:ascii="Times New Roman" w:eastAsia="SimSun"/>
          <w:color w:val="000000"/>
          <w:sz w:val="24"/>
          <w:szCs w:val="24"/>
        </w:rPr>
        <w:t xml:space="preserve">The research analysis reveals a striking disparity between textile manufacturing capacity and research output in several regions. Bangladesh, the world's second-largest garment exporter, contributes less than 0.5% of global textile research publications. Similarly, Vietnam, Cambodia, and most African nations with growing textile industries have minimal research presence. This research-manufacturing gap has significant implications for technology adoption, sustainability improvement, and economic value capture in these countries. Capacity building initiatives, international research partnerships, and targeted funding programs are needed to address this imbalance. Researchers in established textile research institutions have an opportunity and responsibility to develop collaborative programs that build research capacity in underrepresented manufacturing regions.</w:t>
      </w:r>
    </w:p>
    <w:p>
      <w:pPr>
        <w:spacing w:after="60" w:before="200"/>
        <w:jc w:val="center"/>
      </w:pPr>
      <w:r>
        <w:rPr>
          <w:rFonts w:ascii="Times New Roman"/>
          <w:i/>
          <w:iCs/>
          <w:color w:val="606060"/>
          <w:sz w:val="21"/>
          <w:szCs w:val="21"/>
        </w:rPr>
        <w:t xml:space="preserve">[Image: 02_country_research_activity.png]</w:t>
      </w:r>
    </w:p>
    <w:p>
      <w:pPr>
        <w:spacing w:after="200"/>
        <w:jc w:val="center"/>
      </w:pPr>
      <w:r>
        <w:rPr>
          <w:rFonts w:ascii="Times New Roman"/>
          <w:i/>
          <w:iCs/>
          <w:color w:val="606060"/>
          <w:sz w:val="21"/>
          <w:szCs w:val="21"/>
        </w:rPr>
        <w:t xml:space="preserve">Figure 8-1: Country-wise Research Activity in Textile Engineering (2017-2026)</w:t>
      </w:r>
    </w:p>
    <w:p>
      <w:pPr>
        <w:pStyle w:val="Heading1"/>
        <w:spacing w:after="240" w:before="480" w:line="312"/>
        <w:jc w:val="left"/>
      </w:pPr>
      <w:bookmarkStart w:id="100035" w:name="_Toc100035"/>
      <w:r>
        <w:rPr>
          <w:rFonts w:ascii="Times New Roman" w:eastAsia="SimHei"/>
          <w:b/>
          <w:bCs/>
          <w:color w:val="1284BA"/>
          <w:sz w:val="32"/>
          <w:szCs w:val="32"/>
        </w:rPr>
        <w:t xml:space="preserve">9. University Rankings &amp; Leading Research Groups</w:t>
      </w:r>
      <w:bookmarkEnd w:id="100035"/>
    </w:p>
    <w:p>
      <w:pPr>
        <w:pStyle w:val="Heading2"/>
        <w:spacing w:after="180" w:before="360" w:line="312"/>
        <w:jc w:val="left"/>
      </w:pPr>
      <w:bookmarkStart w:id="100036" w:name="_Toc100036"/>
      <w:r>
        <w:rPr>
          <w:rFonts w:ascii="Times New Roman" w:eastAsia="SimHei"/>
          <w:b/>
          <w:bCs/>
          <w:color w:val="1284BA"/>
          <w:sz w:val="28"/>
          <w:szCs w:val="28"/>
        </w:rPr>
        <w:t xml:space="preserve">9.1 Top 15 Global Textile Universities</w:t>
      </w:r>
      <w:bookmarkEnd w:id="100036"/>
    </w:p>
    <w:p>
      <w:pPr>
        <w:spacing w:after="120" w:line="312"/>
        <w:ind w:firstLine="480"/>
        <w:jc w:val="both"/>
      </w:pPr>
      <w:r>
        <w:rPr>
          <w:rFonts w:ascii="Times New Roman" w:eastAsia="SimSun"/>
          <w:color w:val="000000"/>
          <w:sz w:val="24"/>
          <w:szCs w:val="24"/>
        </w:rPr>
        <w:t xml:space="preserve">The global university ranking for textile engineering research is dominated by Asian institutions, reflecting both the regional concentration of textile manufacturing and strategic government investment in textile education and research. The ranking methodology considers publication volume in textile-specific journals, citation impact, h-index of textile research groups, and the breadth of research coverage across the six major domains analyzed in this report.</w:t>
      </w:r>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gridCol w:w="100"/>
      </w:tblGrid>
      <w:tr>
        <w:trPr>
          <w:cantSplit/>
          <w:tblHeader/>
        </w:trPr>
        <w:tc>
          <w:tcPr>
            <w:tcW w:type="pct" w:w="25%"/>
            <w:shd w:fill="1284BA" w:val="clear"/>
            <w:tcMar>
              <w:top w:type="dxa" w:w="60"/>
              <w:left w:type="dxa" w:w="120"/>
              <w:bottom w:type="dxa" w:w="60"/>
              <w:right w:type="dxa" w:w="120"/>
            </w:tcMar>
          </w:tcPr>
          <w:p>
            <w:pPr>
              <w:jc w:val="center"/>
            </w:pPr>
            <w:r>
              <w:rPr>
                <w:rFonts w:ascii="Times New Roman"/>
                <w:b/>
                <w:bCs/>
                <w:color w:val="FFFFFF"/>
                <w:sz w:val="21"/>
                <w:szCs w:val="21"/>
              </w:rPr>
              <w:t xml:space="preserve">Rank</w:t>
            </w:r>
          </w:p>
        </w:tc>
        <w:tc>
          <w:tcPr>
            <w:tcW w:type="pct" w:w="25%"/>
            <w:shd w:fill="1284BA" w:val="clear"/>
            <w:tcMar>
              <w:top w:type="dxa" w:w="60"/>
              <w:left w:type="dxa" w:w="120"/>
              <w:bottom w:type="dxa" w:w="60"/>
              <w:right w:type="dxa" w:w="120"/>
            </w:tcMar>
          </w:tcPr>
          <w:p>
            <w:pPr>
              <w:jc w:val="center"/>
            </w:pPr>
            <w:r>
              <w:rPr>
                <w:rFonts w:ascii="Times New Roman"/>
                <w:b/>
                <w:bCs/>
                <w:color w:val="FFFFFF"/>
                <w:sz w:val="21"/>
                <w:szCs w:val="21"/>
              </w:rPr>
              <w:t xml:space="preserve">University</w:t>
            </w:r>
          </w:p>
        </w:tc>
        <w:tc>
          <w:tcPr>
            <w:tcW w:type="pct" w:w="25%"/>
            <w:shd w:fill="1284BA" w:val="clear"/>
            <w:tcMar>
              <w:top w:type="dxa" w:w="60"/>
              <w:left w:type="dxa" w:w="120"/>
              <w:bottom w:type="dxa" w:w="60"/>
              <w:right w:type="dxa" w:w="120"/>
            </w:tcMar>
          </w:tcPr>
          <w:p>
            <w:pPr>
              <w:jc w:val="center"/>
            </w:pPr>
            <w:r>
              <w:rPr>
                <w:rFonts w:ascii="Times New Roman"/>
                <w:b/>
                <w:bCs/>
                <w:color w:val="FFFFFF"/>
                <w:sz w:val="21"/>
                <w:szCs w:val="21"/>
              </w:rPr>
              <w:t xml:space="preserve">Country</w:t>
            </w:r>
          </w:p>
        </w:tc>
        <w:tc>
          <w:tcPr>
            <w:tcW w:type="pct" w:w="25%"/>
            <w:shd w:fill="1284BA" w:val="clear"/>
            <w:tcMar>
              <w:top w:type="dxa" w:w="60"/>
              <w:left w:type="dxa" w:w="120"/>
              <w:bottom w:type="dxa" w:w="60"/>
              <w:right w:type="dxa" w:w="120"/>
            </w:tcMar>
          </w:tcPr>
          <w:p>
            <w:pPr>
              <w:jc w:val="center"/>
            </w:pPr>
            <w:r>
              <w:rPr>
                <w:rFonts w:ascii="Times New Roman"/>
                <w:b/>
                <w:bCs/>
                <w:color w:val="FFFFFF"/>
                <w:sz w:val="21"/>
                <w:szCs w:val="21"/>
              </w:rPr>
              <w:t xml:space="preserve">Key Strength Areas</w:t>
            </w:r>
          </w:p>
        </w:tc>
      </w:tr>
      <w:tr>
        <w:trPr>
          <w:cantSplit/>
        </w:trPr>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1</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Donghua University</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China</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Sustainable processing, smart textiles, nanotechnology</w:t>
            </w:r>
          </w:p>
        </w:tc>
      </w:tr>
      <w:tr>
        <w:trPr>
          <w:cantSplit/>
        </w:trPr>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2</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Soochow University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China</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Nanotechnology finishing, functional coatings</w:t>
            </w:r>
          </w:p>
        </w:tc>
      </w:tr>
      <w:tr>
        <w:trPr>
          <w:cantSplit/>
        </w:trPr>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3</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Hong Kong Polytechnic University</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China</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Smart textiles, wearable electronics</w:t>
            </w:r>
          </w:p>
        </w:tc>
      </w:tr>
      <w:tr>
        <w:trPr>
          <w:cantSplit/>
        </w:trPr>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4</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North Carolina State University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USA</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Fiber science, biomedical textiles</w:t>
            </w:r>
          </w:p>
        </w:tc>
      </w:tr>
      <w:tr>
        <w:trPr>
          <w:cantSplit/>
        </w:trPr>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5</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Wuhan Textile University</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China</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Dyeing &amp; finishing, sustainable processing</w:t>
            </w:r>
          </w:p>
        </w:tc>
      </w:tr>
      <w:tr>
        <w:trPr>
          <w:cantSplit/>
        </w:trPr>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6</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Zhejiang Sci-Tech University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China</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Silk science, digital printing</w:t>
            </w:r>
          </w:p>
        </w:tc>
      </w:tr>
      <w:tr>
        <w:trPr>
          <w:cantSplit/>
        </w:trPr>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7</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University of Boras</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Sweden</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Circular economy, sustainable fashion</w:t>
            </w:r>
          </w:p>
        </w:tc>
      </w:tr>
      <w:tr>
        <w:trPr>
          <w:cantSplit/>
        </w:trPr>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8</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Ghent University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Belgium</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Textile chemistry, plasma technology</w:t>
            </w:r>
          </w:p>
        </w:tc>
      </w:tr>
      <w:tr>
        <w:trPr>
          <w:cantSplit/>
        </w:trPr>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9</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UMinho</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Portugal</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Smart textiles, biomedical applications</w:t>
            </w:r>
          </w:p>
        </w:tc>
      </w:tr>
      <w:tr>
        <w:trPr>
          <w:cantSplit/>
        </w:trPr>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10</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Tiangong University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China</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Fiber materials, composite textiles</w:t>
            </w:r>
          </w:p>
        </w:tc>
      </w:tr>
      <w:tr>
        <w:trPr>
          <w:cantSplit/>
        </w:trPr>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11</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Jiangnan University</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China</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Digital printing, eco-dyeing</w:t>
            </w:r>
          </w:p>
        </w:tc>
      </w:tr>
      <w:tr>
        <w:trPr>
          <w:cantSplit/>
        </w:trPr>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12</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RWTH Aachen University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Germany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Technical textiles, Industry 4.0</w:t>
            </w:r>
          </w:p>
        </w:tc>
      </w:tr>
      <w:tr>
        <w:trPr>
          <w:cantSplit/>
        </w:trPr>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13</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Manchester University</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UK</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Advanced materials, healthcare textiles</w:t>
            </w:r>
          </w:p>
        </w:tc>
      </w:tr>
      <w:tr>
        <w:trPr>
          <w:cantSplit/>
        </w:trPr>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14</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Ege University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Turkey</w:t>
            </w:r>
          </w:p>
        </w:tc>
        <w:tc>
          <w:tcPr>
            <w:tcW w:type="pct" w:w="25%"/>
            <w:shd w:fill="FFFFFF" w:val="clear"/>
            <w:tcMar>
              <w:top w:type="dxa" w:w="60"/>
              <w:left w:type="dxa" w:w="120"/>
              <w:bottom w:type="dxa" w:w="60"/>
              <w:right w:type="dxa" w:w="120"/>
            </w:tcMar>
          </w:tcPr>
          <w:p>
            <w:pPr>
              <w:jc w:val="left"/>
            </w:pPr>
            <w:r>
              <w:rPr>
                <w:rFonts w:ascii="Times New Roman"/>
                <w:color w:val="000000"/>
                <w:sz w:val="21"/>
                <w:szCs w:val="21"/>
              </w:rPr>
              <w:t xml:space="preserve">Sustainable dyeing, effluent treatment</w:t>
            </w:r>
          </w:p>
        </w:tc>
      </w:tr>
      <w:tr>
        <w:trPr>
          <w:cantSplit/>
        </w:trPr>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15</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Seoul National University</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South Korea</w:t>
            </w:r>
          </w:p>
        </w:tc>
        <w:tc>
          <w:tcPr>
            <w:tcW w:type="pct" w:w="25%"/>
            <w:shd w:fill="EDF4F9" w:val="clear"/>
            <w:tcMar>
              <w:top w:type="dxa" w:w="60"/>
              <w:left w:type="dxa" w:w="120"/>
              <w:bottom w:type="dxa" w:w="60"/>
              <w:right w:type="dxa" w:w="120"/>
            </w:tcMar>
          </w:tcPr>
          <w:p>
            <w:pPr>
              <w:jc w:val="left"/>
            </w:pPr>
            <w:r>
              <w:rPr>
                <w:rFonts w:ascii="Times New Roman"/>
                <w:color w:val="000000"/>
                <w:sz w:val="21"/>
                <w:szCs w:val="21"/>
              </w:rPr>
              <w:t xml:space="preserve">Wearable electronics, TENG systems</w:t>
            </w:r>
          </w:p>
        </w:tc>
      </w:tr>
    </w:tbl>
    <w:p>
      <w:pPr>
        <w:spacing w:after="200"/>
      </w:pPr>
    </w:p>
    <w:p>
      <w:pPr>
        <w:pStyle w:val="Heading2"/>
        <w:spacing w:after="180" w:before="360" w:line="312"/>
        <w:jc w:val="left"/>
      </w:pPr>
      <w:bookmarkStart w:id="100037" w:name="_Toc100037"/>
      <w:r>
        <w:rPr>
          <w:rFonts w:ascii="Times New Roman" w:eastAsia="SimHei"/>
          <w:b/>
          <w:bCs/>
          <w:color w:val="1284BA"/>
          <w:sz w:val="28"/>
          <w:szCs w:val="28"/>
        </w:rPr>
        <w:t xml:space="preserve">9.2 Notable Research Groups and Leading Authors</w:t>
      </w:r>
      <w:bookmarkEnd w:id="100037"/>
    </w:p>
    <w:p>
      <w:pPr>
        <w:spacing w:after="120" w:line="312"/>
        <w:ind w:firstLine="480"/>
        <w:jc w:val="both"/>
      </w:pPr>
      <w:r>
        <w:rPr>
          <w:rFonts w:ascii="Times New Roman" w:eastAsia="SimSun"/>
          <w:color w:val="000000"/>
          <w:sz w:val="24"/>
          <w:szCs w:val="24"/>
        </w:rPr>
        <w:t xml:space="preserve">Several research groups have established distinctive leadership positions in specific textile research domains. In sustainable wet processing, the group at Donghua University focusing on supercritical CO2 dyeing has produced over 80 publications in the past five years, while the plasma-assisted processing group at Ghent University has pioneered atmospheric plasma treatments for textile surface modification. In smart textiles, the wearable electronics group at Hong Kong Polytechnic University has achieved international recognition for their work on fabric-based triboelectric nanogenerators and textile-integrated sensors. The circular economy research cluster at the University of Boras has produced influential work on textile recycling system design and lifecycle assessment. In AI and Industry 4.0, research groups at RWTH Aachen and several Chinese institutions are leading the development of digital manufacturing frameworks for textile production. Leading authors in wet processing and dyeing include researchers who have maintained consistent publication records in top-tier journals, with several having h-indices exceeding 40 in textile-specific research domains.</w:t>
      </w:r>
    </w:p>
    <w:p>
      <w:pPr>
        <w:spacing w:after="60" w:before="200"/>
        <w:jc w:val="center"/>
      </w:pPr>
      <w:r>
        <w:rPr>
          <w:rFonts w:ascii="Times New Roman"/>
          <w:i/>
          <w:iCs/>
          <w:color w:val="606060"/>
          <w:sz w:val="21"/>
          <w:szCs w:val="21"/>
        </w:rPr>
        <w:t xml:space="preserve">[Image: 06_top_universities_ranking.png]</w:t>
      </w:r>
    </w:p>
    <w:p>
      <w:pPr>
        <w:spacing w:after="200"/>
        <w:jc w:val="center"/>
      </w:pPr>
      <w:r>
        <w:rPr>
          <w:rFonts w:ascii="Times New Roman"/>
          <w:i/>
          <w:iCs/>
          <w:color w:val="606060"/>
          <w:sz w:val="21"/>
          <w:szCs w:val="21"/>
        </w:rPr>
        <w:t xml:space="preserve">Figure 9-1: Top Global Universities Ranked by Textile Research Output and Impact</w:t>
      </w:r>
    </w:p>
    <w:p>
      <w:pPr>
        <w:pStyle w:val="Heading1"/>
        <w:spacing w:after="240" w:before="480" w:line="312"/>
        <w:jc w:val="left"/>
      </w:pPr>
      <w:bookmarkStart w:id="100038" w:name="_Toc100038"/>
      <w:r>
        <w:rPr>
          <w:rFonts w:ascii="Times New Roman" w:eastAsia="SimHei"/>
          <w:b/>
          <w:bCs/>
          <w:color w:val="1284BA"/>
          <w:sz w:val="32"/>
          <w:szCs w:val="32"/>
        </w:rPr>
        <w:t xml:space="preserve">10. Journal Analysis &amp; Publication Strategy</w:t>
      </w:r>
      <w:bookmarkEnd w:id="100038"/>
    </w:p>
    <w:p>
      <w:pPr>
        <w:pStyle w:val="Heading2"/>
        <w:spacing w:after="180" w:before="360" w:line="312"/>
        <w:jc w:val="left"/>
      </w:pPr>
      <w:bookmarkStart w:id="100039" w:name="_Toc100039"/>
      <w:r>
        <w:rPr>
          <w:rFonts w:ascii="Times New Roman" w:eastAsia="SimHei"/>
          <w:b/>
          <w:bCs/>
          <w:color w:val="1284BA"/>
          <w:sz w:val="28"/>
          <w:szCs w:val="28"/>
        </w:rPr>
        <w:t xml:space="preserve">10.1 Impact Factor Ranking of Key Journals</w:t>
      </w:r>
      <w:bookmarkEnd w:id="100039"/>
    </w:p>
    <w:p>
      <w:pPr>
        <w:spacing w:after="120" w:line="312"/>
        <w:ind w:firstLine="480"/>
        <w:jc w:val="both"/>
      </w:pPr>
      <w:r>
        <w:rPr>
          <w:rFonts w:ascii="Times New Roman" w:eastAsia="SimSun"/>
          <w:color w:val="000000"/>
          <w:sz w:val="24"/>
          <w:szCs w:val="24"/>
        </w:rPr>
        <w:t xml:space="preserve">Selecting the appropriate target journal is critical for maximizing research impact and career progression. The textile engineering journal landscape has expanded significantly, with several high-impact interdisciplinary journals now actively publishing textile-related research alongside traditional textile-specific journals. Understanding the positioning, scope, and acceptance patterns of these journals enables researchers to optimize their publication strategy.</w:t>
      </w:r>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gridCol w:w="100"/>
        <w:gridCol w:w="100"/>
      </w:tblGrid>
      <w:tr>
        <w:trPr>
          <w:cantSplit/>
          <w:tblHeader/>
        </w:trPr>
        <w:tc>
          <w:tcPr>
            <w:tcW w:type="pct" w:w="20%"/>
            <w:shd w:fill="1284BA" w:val="clear"/>
            <w:tcMar>
              <w:top w:type="dxa" w:w="60"/>
              <w:left w:type="dxa" w:w="120"/>
              <w:bottom w:type="dxa" w:w="60"/>
              <w:right w:type="dxa" w:w="120"/>
            </w:tcMar>
          </w:tcPr>
          <w:p>
            <w:pPr>
              <w:jc w:val="center"/>
            </w:pPr>
            <w:r>
              <w:rPr>
                <w:rFonts w:ascii="Times New Roman"/>
                <w:b/>
                <w:bCs/>
                <w:color w:val="FFFFFF"/>
                <w:sz w:val="21"/>
                <w:szCs w:val="21"/>
              </w:rPr>
              <w:t xml:space="preserve">Journal</w:t>
            </w:r>
          </w:p>
        </w:tc>
        <w:tc>
          <w:tcPr>
            <w:tcW w:type="pct" w:w="20%"/>
            <w:shd w:fill="1284BA" w:val="clear"/>
            <w:tcMar>
              <w:top w:type="dxa" w:w="60"/>
              <w:left w:type="dxa" w:w="120"/>
              <w:bottom w:type="dxa" w:w="60"/>
              <w:right w:type="dxa" w:w="120"/>
            </w:tcMar>
          </w:tcPr>
          <w:p>
            <w:pPr>
              <w:jc w:val="center"/>
            </w:pPr>
            <w:r>
              <w:rPr>
                <w:rFonts w:ascii="Times New Roman"/>
                <w:b/>
                <w:bCs/>
                <w:color w:val="FFFFFF"/>
                <w:sz w:val="21"/>
                <w:szCs w:val="21"/>
              </w:rPr>
              <w:t xml:space="preserve">IF (2024)</w:t>
            </w:r>
          </w:p>
        </w:tc>
        <w:tc>
          <w:tcPr>
            <w:tcW w:type="pct" w:w="20%"/>
            <w:shd w:fill="1284BA" w:val="clear"/>
            <w:tcMar>
              <w:top w:type="dxa" w:w="60"/>
              <w:left w:type="dxa" w:w="120"/>
              <w:bottom w:type="dxa" w:w="60"/>
              <w:right w:type="dxa" w:w="120"/>
            </w:tcMar>
          </w:tcPr>
          <w:p>
            <w:pPr>
              <w:jc w:val="center"/>
            </w:pPr>
            <w:r>
              <w:rPr>
                <w:rFonts w:ascii="Times New Roman"/>
                <w:b/>
                <w:bCs/>
                <w:color w:val="FFFFFF"/>
                <w:sz w:val="21"/>
                <w:szCs w:val="21"/>
              </w:rPr>
              <w:t xml:space="preserve">Scope</w:t>
            </w:r>
          </w:p>
        </w:tc>
        <w:tc>
          <w:tcPr>
            <w:tcW w:type="pct" w:w="20%"/>
            <w:shd w:fill="1284BA" w:val="clear"/>
            <w:tcMar>
              <w:top w:type="dxa" w:w="60"/>
              <w:left w:type="dxa" w:w="120"/>
              <w:bottom w:type="dxa" w:w="60"/>
              <w:right w:type="dxa" w:w="120"/>
            </w:tcMar>
          </w:tcPr>
          <w:p>
            <w:pPr>
              <w:jc w:val="center"/>
            </w:pPr>
            <w:r>
              <w:rPr>
                <w:rFonts w:ascii="Times New Roman"/>
                <w:b/>
                <w:bCs/>
                <w:color w:val="FFFFFF"/>
                <w:sz w:val="21"/>
                <w:szCs w:val="21"/>
              </w:rPr>
              <w:t xml:space="preserve">Acceptance Rate</w:t>
            </w:r>
          </w:p>
        </w:tc>
        <w:tc>
          <w:tcPr>
            <w:tcW w:type="pct" w:w="20%"/>
            <w:shd w:fill="1284BA" w:val="clear"/>
            <w:tcMar>
              <w:top w:type="dxa" w:w="60"/>
              <w:left w:type="dxa" w:w="120"/>
              <w:bottom w:type="dxa" w:w="60"/>
              <w:right w:type="dxa" w:w="120"/>
            </w:tcMar>
          </w:tcPr>
          <w:p>
            <w:pPr>
              <w:jc w:val="center"/>
            </w:pPr>
            <w:r>
              <w:rPr>
                <w:rFonts w:ascii="Times New Roman"/>
                <w:b/>
                <w:bCs/>
                <w:color w:val="FFFFFF"/>
                <w:sz w:val="21"/>
                <w:szCs w:val="21"/>
              </w:rPr>
              <w:t xml:space="preserve">Review Time</w:t>
            </w:r>
          </w:p>
        </w:tc>
      </w:tr>
      <w:tr>
        <w:trPr>
          <w:cantSplit/>
        </w:trPr>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Chemical Engineering Journal</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13.3</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Chemical processing, sustainability</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~15%</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3-5 months</w:t>
            </w:r>
          </w:p>
        </w:tc>
      </w:tr>
      <w:tr>
        <w:trPr>
          <w:cantSplit/>
        </w:trPr>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Journal of Cleaner Production</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11.1</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Sustainability, circular economy</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~18%</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2-4 months</w:t>
            </w:r>
          </w:p>
        </w:tc>
      </w:tr>
      <w:tr>
        <w:trPr>
          <w:cantSplit/>
        </w:trPr>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ACS Applied Materials &amp; Interfaces</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9.5</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Nano-finishing, functional materials</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~20%</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2-3 months</w:t>
            </w:r>
          </w:p>
        </w:tc>
      </w:tr>
      <w:tr>
        <w:trPr>
          <w:cantSplit/>
        </w:trPr>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Carbohydrate Polymers</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11.2</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Cellulose processing, bio-polymers</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~17%</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3-4 months</w:t>
            </w:r>
          </w:p>
        </w:tc>
      </w:tr>
      <w:tr>
        <w:trPr>
          <w:cantSplit/>
        </w:trPr>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Progress in Organic Coatings</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6.6</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Coatings, surface finishing</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~25%</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2-3 months</w:t>
            </w:r>
          </w:p>
        </w:tc>
      </w:tr>
      <w:tr>
        <w:trPr>
          <w:cantSplit/>
        </w:trPr>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Cellulose</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5.7</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Cellulose science, fiber processing</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~30%</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2-3 months</w:t>
            </w:r>
          </w:p>
        </w:tc>
      </w:tr>
      <w:tr>
        <w:trPr>
          <w:cantSplit/>
        </w:trPr>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Textile Research Journal</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2.3</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General textile engineering</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~35%</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3-6 months</w:t>
            </w:r>
          </w:p>
        </w:tc>
      </w:tr>
      <w:tr>
        <w:trPr>
          <w:cantSplit/>
        </w:trPr>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Journal of Engineered Fibers &amp; Fabrics</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2.0</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Functional textiles, engineering</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~40%</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2-4 months</w:t>
            </w:r>
          </w:p>
        </w:tc>
      </w:tr>
      <w:tr>
        <w:trPr>
          <w:cantSplit/>
        </w:trPr>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Coatings</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3.4</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Surface coatings, finishing</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~45%</w:t>
            </w:r>
          </w:p>
        </w:tc>
        <w:tc>
          <w:tcPr>
            <w:tcW w:type="pct" w:w="20%"/>
            <w:shd w:fill="EDF4F9" w:val="clear"/>
            <w:tcMar>
              <w:top w:type="dxa" w:w="60"/>
              <w:left w:type="dxa" w:w="120"/>
              <w:bottom w:type="dxa" w:w="60"/>
              <w:right w:type="dxa" w:w="120"/>
            </w:tcMar>
          </w:tcPr>
          <w:p>
            <w:pPr>
              <w:jc w:val="left"/>
            </w:pPr>
            <w:r>
              <w:rPr>
                <w:rFonts w:ascii="Times New Roman"/>
                <w:color w:val="000000"/>
                <w:sz w:val="21"/>
                <w:szCs w:val="21"/>
              </w:rPr>
              <w:t xml:space="preserve">1-2 months</w:t>
            </w:r>
          </w:p>
        </w:tc>
      </w:tr>
      <w:tr>
        <w:trPr>
          <w:cantSplit/>
        </w:trPr>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Fibers &amp; Polymers</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2.0</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Fiber science, polymer textiles</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~35%</w:t>
            </w:r>
          </w:p>
        </w:tc>
        <w:tc>
          <w:tcPr>
            <w:tcW w:type="pct" w:w="20%"/>
            <w:shd w:fill="FFFFFF" w:val="clear"/>
            <w:tcMar>
              <w:top w:type="dxa" w:w="60"/>
              <w:left w:type="dxa" w:w="120"/>
              <w:bottom w:type="dxa" w:w="60"/>
              <w:right w:type="dxa" w:w="120"/>
            </w:tcMar>
          </w:tcPr>
          <w:p>
            <w:pPr>
              <w:jc w:val="left"/>
            </w:pPr>
            <w:r>
              <w:rPr>
                <w:rFonts w:ascii="Times New Roman"/>
                <w:color w:val="000000"/>
                <w:sz w:val="21"/>
                <w:szCs w:val="21"/>
              </w:rPr>
              <w:t xml:space="preserve">2-3 months</w:t>
            </w:r>
          </w:p>
        </w:tc>
      </w:tr>
    </w:tbl>
    <w:p>
      <w:pPr>
        <w:spacing w:after="200"/>
      </w:pPr>
    </w:p>
    <w:p>
      <w:pPr>
        <w:pStyle w:val="Heading2"/>
        <w:spacing w:after="180" w:before="360" w:line="312"/>
        <w:jc w:val="left"/>
      </w:pPr>
      <w:bookmarkStart w:id="100040" w:name="_Toc100040"/>
      <w:r>
        <w:rPr>
          <w:rFonts w:ascii="Times New Roman" w:eastAsia="SimHei"/>
          <w:b/>
          <w:bCs/>
          <w:color w:val="1284BA"/>
          <w:sz w:val="28"/>
          <w:szCs w:val="28"/>
        </w:rPr>
        <w:t xml:space="preserve">10.2 Strategic Journal Selection by Research Area</w:t>
      </w:r>
      <w:bookmarkEnd w:id="100040"/>
    </w:p>
    <w:p>
      <w:pPr>
        <w:spacing w:after="120" w:line="312"/>
        <w:ind w:firstLine="480"/>
        <w:jc w:val="both"/>
      </w:pPr>
      <w:r>
        <w:rPr>
          <w:rFonts w:ascii="Times New Roman" w:eastAsia="SimSun"/>
          <w:color w:val="000000"/>
          <w:sz w:val="24"/>
          <w:szCs w:val="24"/>
        </w:rPr>
        <w:t xml:space="preserve">Strategic journal selection should align with both the research content and the researcher's career objectives. For sustainability-focused research targeting maximum impact, Chemical Engineering Journal and Journal of Cleaner Production offer the highest visibility but with lower acceptance rates and longer review processes. For nanotechnology finishing research, ACS Applied Materials &amp; Interfaces provides strong interdisciplinary impact, while Progress in Organic Coatings and Coatings offer faster publication with more specialized audiences. Smart textile research with electronics integration may find better fit in Advanced Functional Materials or Nano Energy for high-impact work, while Journal of Engineered Fibers &amp; Fabrics provides a more accessible target for applied research.</w:t>
      </w:r>
    </w:p>
    <w:p>
      <w:pPr>
        <w:pStyle w:val="Heading2"/>
        <w:spacing w:after="180" w:before="360" w:line="312"/>
        <w:jc w:val="left"/>
      </w:pPr>
      <w:bookmarkStart w:id="100041" w:name="_Toc100041"/>
      <w:r>
        <w:rPr>
          <w:rFonts w:ascii="Times New Roman" w:eastAsia="SimHei"/>
          <w:b/>
          <w:bCs/>
          <w:color w:val="1284BA"/>
          <w:sz w:val="28"/>
          <w:szCs w:val="28"/>
        </w:rPr>
        <w:t xml:space="preserve">10.3 Quick-Win Publication Targets</w:t>
      </w:r>
      <w:bookmarkEnd w:id="100041"/>
    </w:p>
    <w:p>
      <w:pPr>
        <w:spacing w:after="120" w:line="312"/>
        <w:ind w:firstLine="480"/>
        <w:jc w:val="both"/>
      </w:pPr>
      <w:r>
        <w:rPr>
          <w:rFonts w:ascii="Times New Roman" w:eastAsia="SimSun"/>
          <w:color w:val="000000"/>
          <w:sz w:val="24"/>
          <w:szCs w:val="24"/>
        </w:rPr>
        <w:t xml:space="preserve">Researchers seeking faster publication timelines should consider several quick-win journal targets. Coatings (MDPI) offers typical review times of 4-8 weeks with acceptance rates around 45%, making it ideal for nano-finishing and surface treatment research. Fibers &amp; Polymers provides reasonable impact with acceptance rates around 35% and review times of 8-12 weeks. Journal of Engineered Fibers &amp; Fabrics, as an open-access society journal, offers supportive review processes for applied textile research. These journals serve as excellent venues for preliminary studies, methodological papers, and applied research that forms the foundation for subsequent high-impact submissions.</w:t>
      </w:r>
    </w:p>
    <w:p>
      <w:pPr>
        <w:pStyle w:val="Heading2"/>
        <w:spacing w:after="180" w:before="360" w:line="312"/>
        <w:jc w:val="left"/>
      </w:pPr>
      <w:bookmarkStart w:id="100042" w:name="_Toc100042"/>
      <w:r>
        <w:rPr>
          <w:rFonts w:ascii="Times New Roman" w:eastAsia="SimHei"/>
          <w:b/>
          <w:bCs/>
          <w:color w:val="1284BA"/>
          <w:sz w:val="28"/>
          <w:szCs w:val="28"/>
        </w:rPr>
        <w:t xml:space="preserve">10.4 Interdisciplinary Publishing Advantages</w:t>
      </w:r>
      <w:bookmarkEnd w:id="100042"/>
    </w:p>
    <w:p>
      <w:pPr>
        <w:spacing w:after="120" w:line="312"/>
        <w:ind w:firstLine="480"/>
        <w:jc w:val="both"/>
      </w:pPr>
      <w:r>
        <w:rPr>
          <w:rFonts w:ascii="Times New Roman" w:eastAsia="SimSun"/>
          <w:color w:val="000000"/>
          <w:sz w:val="24"/>
          <w:szCs w:val="24"/>
        </w:rPr>
        <w:t xml:space="preserve">Interdisciplinary research that bridges textile engineering with chemistry, materials science, or computer science can leverage significantly higher-impact journals than traditional textile-specific publications. Research combining AI with textile processing can target journals such as Expert Systems with Applications (IF 8.5) or Engineering Applications of Artificial Intelligence (IF 8.0), which have broader readership and higher impact factors than textile-specific journals. Similarly, biomedical textile research can access Bioactive Materials (IF 18.9) or Acta Biomaterialia (IF 10.3) by emphasizing the biomaterials aspects. This cross-disciplinary positioning strategy can substantially enhance citation impact and research visibility.</w:t>
      </w:r>
    </w:p>
    <w:p>
      <w:pPr>
        <w:spacing w:after="60" w:before="200"/>
        <w:jc w:val="center"/>
      </w:pPr>
      <w:r>
        <w:rPr>
          <w:rFonts w:ascii="Times New Roman"/>
          <w:i/>
          <w:iCs/>
          <w:color w:val="606060"/>
          <w:sz w:val="21"/>
          <w:szCs w:val="21"/>
        </w:rPr>
        <w:t xml:space="preserve">[Image: 03_journal_impact_ranking.png]</w:t>
      </w:r>
    </w:p>
    <w:p>
      <w:pPr>
        <w:spacing w:after="200"/>
        <w:jc w:val="center"/>
      </w:pPr>
      <w:r>
        <w:rPr>
          <w:rFonts w:ascii="Times New Roman"/>
          <w:i/>
          <w:iCs/>
          <w:color w:val="606060"/>
          <w:sz w:val="21"/>
          <w:szCs w:val="21"/>
        </w:rPr>
        <w:t xml:space="preserve">Figure 10-1: Key Journal Impact Factor Ranking for Textile Research Publications</w:t>
      </w:r>
    </w:p>
    <w:p>
      <w:pPr>
        <w:pStyle w:val="Heading1"/>
        <w:spacing w:after="240" w:before="480" w:line="312"/>
        <w:jc w:val="left"/>
      </w:pPr>
      <w:bookmarkStart w:id="100043" w:name="_Toc100043"/>
      <w:r>
        <w:rPr>
          <w:rFonts w:ascii="Times New Roman" w:eastAsia="SimHei"/>
          <w:b/>
          <w:bCs/>
          <w:color w:val="1284BA"/>
          <w:sz w:val="32"/>
          <w:szCs w:val="32"/>
        </w:rPr>
        <w:t xml:space="preserve">11. Research Gap Analysis</w:t>
      </w:r>
      <w:bookmarkEnd w:id="100043"/>
    </w:p>
    <w:p>
      <w:pPr>
        <w:spacing w:after="120" w:line="312"/>
        <w:ind w:firstLine="480"/>
        <w:jc w:val="both"/>
      </w:pPr>
      <w:r>
        <w:rPr>
          <w:rFonts w:ascii="Times New Roman" w:eastAsia="SimSun"/>
          <w:color w:val="000000"/>
          <w:sz w:val="24"/>
          <w:szCs w:val="24"/>
        </w:rPr>
        <w:t xml:space="preserve">This analysis identifies seven critical research gaps that represent both significant scientific challenges and high-impact publication opportunities. Each gap is characterized by a substantial unmet need, limited existing research, and clear pathways for meaningful contribution.</w:t>
      </w:r>
    </w:p>
    <w:p>
      <w:pPr>
        <w:pStyle w:val="Heading2"/>
        <w:spacing w:after="180" w:before="360" w:line="312"/>
        <w:jc w:val="left"/>
      </w:pPr>
      <w:bookmarkStart w:id="100044" w:name="_Toc100044"/>
      <w:r>
        <w:rPr>
          <w:rFonts w:ascii="Times New Roman" w:eastAsia="SimHei"/>
          <w:b/>
          <w:bCs/>
          <w:color w:val="1284BA"/>
          <w:sz w:val="28"/>
          <w:szCs w:val="28"/>
        </w:rPr>
        <w:t xml:space="preserve">11.1 Cellulosic scCO2 Dyeing Challenge</w:t>
      </w:r>
      <w:bookmarkEnd w:id="100044"/>
    </w:p>
    <w:p>
      <w:pPr>
        <w:spacing w:after="120" w:line="312"/>
        <w:ind w:firstLine="480"/>
        <w:jc w:val="both"/>
      </w:pPr>
      <w:r>
        <w:rPr>
          <w:rFonts w:ascii="Times New Roman" w:eastAsia="SimSun"/>
          <w:color w:val="000000"/>
          <w:sz w:val="24"/>
          <w:szCs w:val="24"/>
        </w:rPr>
        <w:t xml:space="preserve">The inability to efficiently dye cellulosic fibers using supercritical CO2 remains the most significant unsolved challenge in waterless dyeing technology. While polyester scCO2 dyeing is commercially established, cotton and other cellulosic fibers, which represent approximately 40% of global fiber consumption, cannot be effectively dyed in this medium due to the incompatibility between hydrophilic reactive dyes and the non-polar supercritical CO2 solvent. Current approaches using reverse micelles and co-solvents have achieved only moderate color strengths and poor fastness properties. A breakthrough in this area would transform the sustainability profile of cotton processing and has potential for publication in the highest-impact journals.</w:t>
      </w:r>
    </w:p>
    <w:p>
      <w:pPr>
        <w:pStyle w:val="Heading2"/>
        <w:spacing w:after="180" w:before="360" w:line="312"/>
        <w:jc w:val="left"/>
      </w:pPr>
      <w:bookmarkStart w:id="100045" w:name="_Toc100045"/>
      <w:r>
        <w:rPr>
          <w:rFonts w:ascii="Times New Roman" w:eastAsia="SimHei"/>
          <w:b/>
          <w:bCs/>
          <w:color w:val="1284BA"/>
          <w:sz w:val="28"/>
          <w:szCs w:val="28"/>
        </w:rPr>
        <w:t xml:space="preserve">11.2 Nano-Finishing Wash Durability</w:t>
      </w:r>
      <w:bookmarkEnd w:id="100045"/>
    </w:p>
    <w:p>
      <w:pPr>
        <w:spacing w:after="120" w:line="312"/>
        <w:ind w:firstLine="480"/>
        <w:jc w:val="both"/>
      </w:pPr>
      <w:r>
        <w:rPr>
          <w:rFonts w:ascii="Times New Roman" w:eastAsia="SimSun"/>
          <w:color w:val="000000"/>
          <w:sz w:val="24"/>
          <w:szCs w:val="24"/>
        </w:rPr>
        <w:t xml:space="preserve">As identified in Section 4, the rapid loss of nano-finishing functionality during washing represents a critical gap. While individual studies report various cross-linking and encapsulation strategies, no systematic framework exists for designing wash-durable nano-coatings that maintain functional performance through 50+ washing cycles. The development of standardized accelerated wash testing protocols specifically for nano-finished textiles is also lacking, making cross-study comparison unreliable.</w:t>
      </w:r>
    </w:p>
    <w:p>
      <w:pPr>
        <w:pStyle w:val="Heading2"/>
        <w:spacing w:after="180" w:before="360" w:line="312"/>
        <w:jc w:val="left"/>
      </w:pPr>
      <w:bookmarkStart w:id="100046" w:name="_Toc100046"/>
      <w:r>
        <w:rPr>
          <w:rFonts w:ascii="Times New Roman" w:eastAsia="SimHei"/>
          <w:b/>
          <w:bCs/>
          <w:color w:val="1284BA"/>
          <w:sz w:val="28"/>
          <w:szCs w:val="28"/>
        </w:rPr>
        <w:t xml:space="preserve">11.3 PFAS-Free Oil Repellency Limitation</w:t>
      </w:r>
      <w:bookmarkEnd w:id="100046"/>
    </w:p>
    <w:p>
      <w:pPr>
        <w:spacing w:after="120" w:line="312"/>
        <w:ind w:firstLine="480"/>
        <w:jc w:val="both"/>
      </w:pPr>
      <w:r>
        <w:rPr>
          <w:rFonts w:ascii="Times New Roman" w:eastAsia="SimSun"/>
          <w:color w:val="000000"/>
          <w:sz w:val="24"/>
          <w:szCs w:val="24"/>
        </w:rPr>
        <w:t xml:space="preserve">While PFAS-free water repellency has advanced significantly, achieving oil repellency without fluorocarbon chemistry remains extremely challenging. Current bio-based and silicone-based alternatives achieve water contact angles approaching fluorochemical finishes but oil contact angles remain below the threshold for practical oil repellency (typically requiring contact angles above 90 degrees for mineral oil). This gap limits the application of PFAS-free finishes in workwear, outdoor equipment, and technical textiles where both water and oil repellency are required.</w:t>
      </w:r>
    </w:p>
    <w:p>
      <w:pPr>
        <w:pStyle w:val="Heading2"/>
        <w:spacing w:after="180" w:before="360" w:line="312"/>
        <w:jc w:val="left"/>
      </w:pPr>
      <w:bookmarkStart w:id="100047" w:name="_Toc100047"/>
      <w:r>
        <w:rPr>
          <w:rFonts w:ascii="Times New Roman" w:eastAsia="SimHei"/>
          <w:b/>
          <w:bCs/>
          <w:color w:val="1284BA"/>
          <w:sz w:val="28"/>
          <w:szCs w:val="28"/>
        </w:rPr>
        <w:t xml:space="preserve">11.4 Natural Dye Scalability Barrier</w:t>
      </w:r>
      <w:bookmarkEnd w:id="100047"/>
    </w:p>
    <w:p>
      <w:pPr>
        <w:spacing w:after="120" w:line="312"/>
        <w:ind w:firstLine="480"/>
        <w:jc w:val="both"/>
      </w:pPr>
      <w:r>
        <w:rPr>
          <w:rFonts w:ascii="Times New Roman" w:eastAsia="SimSun"/>
          <w:color w:val="000000"/>
          <w:sz w:val="24"/>
          <w:szCs w:val="24"/>
        </w:rPr>
        <w:t xml:space="preserve">Natural dye research has generated thousands of publications demonstrating color potential and antimicrobial properties, yet commercial adoption remains negligible due to scalability barriers. The fundamental challenge is that natural dye extraction is an inherently low-yield, batch process dependent on agricultural supply chains with seasonal variability. No viable continuous natural dye production system has been demonstrated at commercial scale, and the economic analysis consistently shows costs 3-5 times higher than synthetic alternatives.</w:t>
      </w:r>
    </w:p>
    <w:p>
      <w:pPr>
        <w:pStyle w:val="Heading2"/>
        <w:spacing w:after="180" w:before="360" w:line="312"/>
        <w:jc w:val="left"/>
      </w:pPr>
      <w:bookmarkStart w:id="100048" w:name="_Toc100048"/>
      <w:r>
        <w:rPr>
          <w:rFonts w:ascii="Times New Roman" w:eastAsia="SimHei"/>
          <w:b/>
          <w:bCs/>
          <w:color w:val="1284BA"/>
          <w:sz w:val="28"/>
          <w:szCs w:val="28"/>
        </w:rPr>
        <w:t xml:space="preserve">11.5 AI Integration Cost for SMEs</w:t>
      </w:r>
      <w:bookmarkEnd w:id="100048"/>
    </w:p>
    <w:p>
      <w:pPr>
        <w:spacing w:after="120" w:line="312"/>
        <w:ind w:firstLine="480"/>
        <w:jc w:val="both"/>
      </w:pPr>
      <w:r>
        <w:rPr>
          <w:rFonts w:ascii="Times New Roman" w:eastAsia="SimSun"/>
          <w:color w:val="000000"/>
          <w:sz w:val="24"/>
          <w:szCs w:val="24"/>
        </w:rPr>
        <w:t xml:space="preserve">The high cost of AI integration for small and medium enterprises represents a significant barrier to Industry 4.0 adoption in the textile sector. Current AI solutions require substantial investments in sensor infrastructure, computing hardware, data science expertise, and system integration that are prohibitive for the majority of textile manufacturers. No affordable, modular, or plug-and-play AI solutions have been developed specifically for SME textile operations. This gap between research capabilities and practical implementation limits the real-world impact of AI textile research.</w:t>
      </w:r>
    </w:p>
    <w:p>
      <w:pPr>
        <w:pStyle w:val="Heading2"/>
        <w:spacing w:after="180" w:before="360" w:line="312"/>
        <w:jc w:val="left"/>
      </w:pPr>
      <w:bookmarkStart w:id="100049" w:name="_Toc100049"/>
      <w:r>
        <w:rPr>
          <w:rFonts w:ascii="Times New Roman" w:eastAsia="SimHei"/>
          <w:b/>
          <w:bCs/>
          <w:color w:val="1284BA"/>
          <w:sz w:val="28"/>
          <w:szCs w:val="28"/>
        </w:rPr>
        <w:t xml:space="preserve">11.6 Digital Twin Frameworks Absence</w:t>
      </w:r>
      <w:bookmarkEnd w:id="100049"/>
    </w:p>
    <w:p>
      <w:pPr>
        <w:spacing w:after="120" w:line="312"/>
        <w:ind w:firstLine="480"/>
        <w:jc w:val="both"/>
      </w:pPr>
      <w:r>
        <w:rPr>
          <w:rFonts w:ascii="Times New Roman" w:eastAsia="SimSun"/>
          <w:color w:val="000000"/>
          <w:sz w:val="24"/>
          <w:szCs w:val="24"/>
        </w:rPr>
        <w:t xml:space="preserve">Despite the growing interest in digital twins for manufacturing, no published digital twin framework exists for textile wet processing operations. This absence spans both the conceptual architecture and the practical implementation, including process models, sensor integration strategies, data management systems, and optimization algorithms specific to textile dyeing and finishing. The development of such a framework would represent a foundational contribution to the field.</w:t>
      </w:r>
    </w:p>
    <w:p>
      <w:pPr>
        <w:pStyle w:val="Heading2"/>
        <w:spacing w:after="180" w:before="360" w:line="312"/>
        <w:jc w:val="left"/>
      </w:pPr>
      <w:bookmarkStart w:id="100050" w:name="_Toc100050"/>
      <w:r>
        <w:rPr>
          <w:rFonts w:ascii="Times New Roman" w:eastAsia="SimHei"/>
          <w:b/>
          <w:bCs/>
          <w:color w:val="1284BA"/>
          <w:sz w:val="28"/>
          <w:szCs w:val="28"/>
        </w:rPr>
        <w:t xml:space="preserve">11.7 Toxicological Assessment Gaps</w:t>
      </w:r>
      <w:bookmarkEnd w:id="100050"/>
    </w:p>
    <w:p>
      <w:pPr>
        <w:spacing w:after="120" w:line="312"/>
        <w:ind w:firstLine="480"/>
        <w:jc w:val="both"/>
      </w:pPr>
      <w:r>
        <w:rPr>
          <w:rFonts w:ascii="Times New Roman" w:eastAsia="SimSun"/>
          <w:color w:val="000000"/>
          <w:sz w:val="24"/>
          <w:szCs w:val="24"/>
        </w:rPr>
        <w:t xml:space="preserve">Comprehensive toxicological assessment of nano-finished textiles and their degradation products remains insufficient. While individual studies examine specific nanoparticle releases, there is no systematic framework for evaluating the long-term environmental and health impacts of nano-finishing treatments throughout the textile lifecycle. This gap is increasingly important as regulatory frameworks, particularly in the EU, move toward requiring comprehensive safety data for nanomaterial-enabled products.</w:t>
      </w:r>
    </w:p>
    <w:p>
      <w:pPr>
        <w:pStyle w:val="Heading1"/>
        <w:spacing w:after="240" w:before="480" w:line="312"/>
        <w:jc w:val="left"/>
      </w:pPr>
      <w:bookmarkStart w:id="100051" w:name="_Toc100051"/>
      <w:r>
        <w:rPr>
          <w:rFonts w:ascii="Times New Roman" w:eastAsia="SimHei"/>
          <w:b/>
          <w:bCs/>
          <w:color w:val="1284BA"/>
          <w:sz w:val="32"/>
          <w:szCs w:val="32"/>
        </w:rPr>
        <w:t xml:space="preserve">12. Research Opportunity Matrix</w:t>
      </w:r>
      <w:bookmarkEnd w:id="100051"/>
    </w:p>
    <w:p>
      <w:pPr>
        <w:pStyle w:val="Heading2"/>
        <w:spacing w:after="180" w:before="360" w:line="312"/>
        <w:jc w:val="left"/>
      </w:pPr>
      <w:bookmarkStart w:id="100052" w:name="_Toc100052"/>
      <w:r>
        <w:rPr>
          <w:rFonts w:ascii="Times New Roman" w:eastAsia="SimHei"/>
          <w:b/>
          <w:bCs/>
          <w:color w:val="1284BA"/>
          <w:sz w:val="28"/>
          <w:szCs w:val="28"/>
        </w:rPr>
        <w:t xml:space="preserve">12.1 Sweet Spot Topics</w:t>
      </w:r>
      <w:bookmarkEnd w:id="100052"/>
    </w:p>
    <w:p>
      <w:pPr>
        <w:spacing w:after="120" w:line="312"/>
        <w:ind w:firstLine="480"/>
        <w:jc w:val="both"/>
      </w:pPr>
      <w:r>
        <w:rPr>
          <w:rFonts w:ascii="Times New Roman" w:eastAsia="SimSun"/>
          <w:color w:val="000000"/>
          <w:sz w:val="24"/>
          <w:szCs w:val="24"/>
        </w:rPr>
        <w:t xml:space="preserve">The research opportunity matrix identifies sweet spot topics that combine high scientific impact potential with relatively low research competition. These topics represent areas where the existing research base is insufficient relative to the practical importance of the problem, creating favorable conditions for researchers to establish leadership positions with well-designed studies. The matrix evaluates each topic along two dimensions: impact potential (based on market size, regulatory urgency, and citation potential) and competition level (based on existing publication volume and research group activity). Topics in the high-impact, low-competition quadrant represent the most favorable publication opportunities.</w:t>
      </w:r>
    </w:p>
    <w:p>
      <w:pPr>
        <w:pStyle w:val="Heading2"/>
        <w:spacing w:after="180" w:before="360" w:line="312"/>
        <w:jc w:val="left"/>
      </w:pPr>
      <w:bookmarkStart w:id="100053" w:name="_Toc100053"/>
      <w:r>
        <w:rPr>
          <w:rFonts w:ascii="Times New Roman" w:eastAsia="SimHei"/>
          <w:b/>
          <w:bCs/>
          <w:color w:val="1284BA"/>
          <w:sz w:val="28"/>
          <w:szCs w:val="28"/>
        </w:rPr>
        <w:t xml:space="preserve">12.2 Five Blue Ocean Research Topics</w:t>
      </w:r>
      <w:bookmarkEnd w:id="100053"/>
    </w:p>
    <w:p>
      <w:pPr>
        <w:pStyle w:val="Heading3"/>
        <w:spacing w:after="120" w:before="240" w:line="312"/>
        <w:jc w:val="left"/>
      </w:pPr>
      <w:bookmarkStart w:id="100054" w:name="_Toc100054"/>
      <w:r>
        <w:rPr>
          <w:rFonts w:ascii="Times New Roman" w:eastAsia="SimHei"/>
          <w:b/>
          <w:bCs/>
          <w:color w:val="1284BA"/>
          <w:sz w:val="24"/>
          <w:szCs w:val="24"/>
        </w:rPr>
        <w:t xml:space="preserve">12.2.1 Bacterial Self-Pigmenting Textiles</w:t>
      </w:r>
      <w:bookmarkEnd w:id="100054"/>
    </w:p>
    <w:p>
      <w:pPr>
        <w:spacing w:after="120" w:line="312"/>
        <w:ind w:firstLine="480"/>
        <w:jc w:val="both"/>
      </w:pPr>
      <w:r>
        <w:rPr>
          <w:rFonts w:ascii="Times New Roman" w:eastAsia="SimSun"/>
          <w:color w:val="000000"/>
          <w:sz w:val="24"/>
          <w:szCs w:val="24"/>
        </w:rPr>
        <w:t xml:space="preserve">Bacterial self-pigmenting textiles represent a transformative concept where pigment-producing bacteria are incorporated into or onto textile substrates, enabling the fabric to produce its own color biologically. This approach could eliminate the need for conventional dyeing processes entirely, addressing sustainability challenges at the most fundamental level. Research challenges include controlling color consistency, achieving a full color palette, ensuring wash fastness of biologically produced pigments, and scaling production from laboratory to commercial quantities. No research group has yet established a comprehensive program in this area, creating a true blue ocean opportunity.</w:t>
      </w:r>
    </w:p>
    <w:p>
      <w:pPr>
        <w:pStyle w:val="Heading3"/>
        <w:spacing w:after="120" w:before="240" w:line="312"/>
        <w:jc w:val="left"/>
      </w:pPr>
      <w:bookmarkStart w:id="100055" w:name="_Toc100055"/>
      <w:r>
        <w:rPr>
          <w:rFonts w:ascii="Times New Roman" w:eastAsia="SimHei"/>
          <w:b/>
          <w:bCs/>
          <w:color w:val="1284BA"/>
          <w:sz w:val="24"/>
          <w:szCs w:val="24"/>
        </w:rPr>
        <w:t xml:space="preserve">12.2.2 Ionic Liquid-Based Single-Step Processing</w:t>
      </w:r>
      <w:bookmarkEnd w:id="100055"/>
    </w:p>
    <w:p>
      <w:pPr>
        <w:spacing w:after="120" w:line="312"/>
        <w:ind w:firstLine="480"/>
        <w:jc w:val="both"/>
      </w:pPr>
      <w:r>
        <w:rPr>
          <w:rFonts w:ascii="Times New Roman" w:eastAsia="SimSun"/>
          <w:color w:val="000000"/>
          <w:sz w:val="24"/>
          <w:szCs w:val="24"/>
        </w:rPr>
        <w:t xml:space="preserve">Ionic liquids have shown remarkable potential as solvents for cellulose dissolution, and their application in textile processing could enable single-step fiber dissolution and dyeing operations that dramatically simplify cotton processing. This approach could potentially eliminate the need for separate scouring, bleaching, and dyeing steps, reducing water consumption by over 90% and energy use by 60-70%. The research frontier lies in developing task-specific ionic liquids that can dissolve cellulose while simultaneously serving as dyeing media, and in designing recovery and recycling systems for the expensive ionic liquid solvents.</w:t>
      </w:r>
    </w:p>
    <w:p>
      <w:pPr>
        <w:pStyle w:val="Heading3"/>
        <w:spacing w:after="120" w:before="240" w:line="312"/>
        <w:jc w:val="left"/>
      </w:pPr>
      <w:bookmarkStart w:id="100056" w:name="_Toc100056"/>
      <w:r>
        <w:rPr>
          <w:rFonts w:ascii="Times New Roman" w:eastAsia="SimHei"/>
          <w:b/>
          <w:bCs/>
          <w:color w:val="1284BA"/>
          <w:sz w:val="24"/>
          <w:szCs w:val="24"/>
        </w:rPr>
        <w:t xml:space="preserve">12.2.3 Digital Twins for Wet Processing</w:t>
      </w:r>
      <w:bookmarkEnd w:id="100056"/>
    </w:p>
    <w:p>
      <w:pPr>
        <w:spacing w:after="120" w:line="312"/>
        <w:ind w:firstLine="480"/>
        <w:jc w:val="both"/>
      </w:pPr>
      <w:r>
        <w:rPr>
          <w:rFonts w:ascii="Times New Roman" w:eastAsia="SimSun"/>
          <w:color w:val="000000"/>
          <w:sz w:val="24"/>
          <w:szCs w:val="24"/>
        </w:rPr>
        <w:t xml:space="preserve">As identified in the gap analysis, digital twin frameworks for textile wet processing are entirely absent from the published literature. Developing such a framework would require combining process modeling expertise, sensor integration knowledge, data science capabilities, and textile chemistry understanding. The interdisciplinary nature of this challenge makes it particularly suitable for collaborative research teams and provides opportunities for publications across multiple journal categories.</w:t>
      </w:r>
    </w:p>
    <w:p>
      <w:pPr>
        <w:pStyle w:val="Heading3"/>
        <w:spacing w:after="120" w:before="240" w:line="312"/>
        <w:jc w:val="left"/>
      </w:pPr>
      <w:bookmarkStart w:id="100057" w:name="_Toc100057"/>
      <w:r>
        <w:rPr>
          <w:rFonts w:ascii="Times New Roman" w:eastAsia="SimHei"/>
          <w:b/>
          <w:bCs/>
          <w:color w:val="1284BA"/>
          <w:sz w:val="24"/>
          <w:szCs w:val="24"/>
        </w:rPr>
        <w:t xml:space="preserve">12.2.4 Self-Healing Bioengineered Textiles</w:t>
      </w:r>
      <w:bookmarkEnd w:id="100057"/>
    </w:p>
    <w:p>
      <w:pPr>
        <w:spacing w:after="120" w:line="312"/>
        <w:ind w:firstLine="480"/>
        <w:jc w:val="both"/>
      </w:pPr>
      <w:r>
        <w:rPr>
          <w:rFonts w:ascii="Times New Roman" w:eastAsia="SimSun"/>
          <w:color w:val="000000"/>
          <w:sz w:val="24"/>
          <w:szCs w:val="24"/>
        </w:rPr>
        <w:t xml:space="preserve">Self-healing textiles that can autonomously repair damage or regenerate functional properties represent a novel research frontier at the intersection of bioengineering and textile science. Approaches include microcapsule-based repair systems, reversible covalent bonding networks, and biologically inspired self-healing polymers. Applications range from extending the functional lifetime of medical textiles and protective clothing to enabling truly sustainable textile products that maintain performance throughout extended use cycles.</w:t>
      </w:r>
    </w:p>
    <w:p>
      <w:pPr>
        <w:pStyle w:val="Heading3"/>
        <w:spacing w:after="120" w:before="240" w:line="312"/>
        <w:jc w:val="left"/>
      </w:pPr>
      <w:bookmarkStart w:id="100058" w:name="_Toc100058"/>
      <w:r>
        <w:rPr>
          <w:rFonts w:ascii="Times New Roman" w:eastAsia="SimHei"/>
          <w:b/>
          <w:bCs/>
          <w:color w:val="1284BA"/>
          <w:sz w:val="24"/>
          <w:szCs w:val="24"/>
        </w:rPr>
        <w:t xml:space="preserve">12.2.5 Radiative Cooling Textiles</w:t>
      </w:r>
      <w:bookmarkEnd w:id="100058"/>
    </w:p>
    <w:p>
      <w:pPr>
        <w:spacing w:after="120" w:line="312"/>
        <w:ind w:firstLine="480"/>
        <w:jc w:val="both"/>
      </w:pPr>
      <w:r>
        <w:rPr>
          <w:rFonts w:ascii="Times New Roman" w:eastAsia="SimSun"/>
          <w:color w:val="000000"/>
          <w:sz w:val="24"/>
          <w:szCs w:val="24"/>
        </w:rPr>
        <w:t xml:space="preserve">Radiative cooling textiles that achieve sub-ambient surface temperatures by reflecting solar radiation while emitting thermal energy through the atmospheric transparency window (8-13 micrometers) represent an emerging research frontier with significant energy savings potential. These textiles could eliminate the need for energy-intensive air conditioning in hot climates, with studies estimating potential cooling power of 50-100 W/m2. Current research is in its early stages, with most publications from materials science rather than textile engineering groups, creating an entry opportunity for textile researchers.</w:t>
      </w:r>
    </w:p>
    <w:p>
      <w:pPr>
        <w:spacing w:after="60" w:before="200"/>
        <w:jc w:val="center"/>
      </w:pPr>
      <w:r>
        <w:rPr>
          <w:rFonts w:ascii="Times New Roman"/>
          <w:i/>
          <w:iCs/>
          <w:color w:val="606060"/>
          <w:sz w:val="21"/>
          <w:szCs w:val="21"/>
        </w:rPr>
        <w:t xml:space="preserve">[Image: 04_research_opportunity_matrix.png]</w:t>
      </w:r>
    </w:p>
    <w:p>
      <w:pPr>
        <w:spacing w:after="200"/>
        <w:jc w:val="center"/>
      </w:pPr>
      <w:r>
        <w:rPr>
          <w:rFonts w:ascii="Times New Roman"/>
          <w:i/>
          <w:iCs/>
          <w:color w:val="606060"/>
          <w:sz w:val="21"/>
          <w:szCs w:val="21"/>
        </w:rPr>
        <w:t xml:space="preserve">Figure 12-1: Research Opportunity Matrix - Impact vs. Competition Analysis</w:t>
      </w:r>
    </w:p>
    <w:p>
      <w:pPr>
        <w:pStyle w:val="Heading1"/>
        <w:spacing w:after="240" w:before="480" w:line="312"/>
        <w:jc w:val="left"/>
      </w:pPr>
      <w:bookmarkStart w:id="100059" w:name="_Toc100059"/>
      <w:r>
        <w:rPr>
          <w:rFonts w:ascii="Times New Roman" w:eastAsia="SimHei"/>
          <w:b/>
          <w:bCs/>
          <w:color w:val="1284BA"/>
          <w:sz w:val="32"/>
          <w:szCs w:val="32"/>
        </w:rPr>
        <w:t xml:space="preserve">13. Market Growth &amp; Industry Trends</w:t>
      </w:r>
      <w:bookmarkEnd w:id="100059"/>
    </w:p>
    <w:p>
      <w:pPr>
        <w:pStyle w:val="Heading2"/>
        <w:spacing w:after="180" w:before="360" w:line="312"/>
        <w:jc w:val="left"/>
      </w:pPr>
      <w:bookmarkStart w:id="100060" w:name="_Toc100060"/>
      <w:r>
        <w:rPr>
          <w:rFonts w:ascii="Times New Roman" w:eastAsia="SimHei"/>
          <w:b/>
          <w:bCs/>
          <w:color w:val="1284BA"/>
          <w:sz w:val="28"/>
          <w:szCs w:val="28"/>
        </w:rPr>
        <w:t xml:space="preserve">13.1 Sector-by-Sector Market Projections</w:t>
      </w:r>
      <w:bookmarkEnd w:id="100060"/>
    </w:p>
    <w:p>
      <w:pPr>
        <w:spacing w:after="120" w:line="312"/>
        <w:ind w:firstLine="480"/>
        <w:jc w:val="both"/>
      </w:pPr>
      <w:r>
        <w:rPr>
          <w:rFonts w:ascii="Times New Roman" w:eastAsia="SimSun"/>
          <w:color w:val="000000"/>
          <w:sz w:val="24"/>
          <w:szCs w:val="24"/>
        </w:rPr>
        <w:t xml:space="preserve">The textile technology market is experiencing robust growth across multiple sectors, driven by sustainability regulations, digitalization trends, and consumer demand for functional and smart products. The waterless dyeing market is projected to grow from $348.9 million in 2024 to approximately $780 million by 2034 at a 9.2% CAGR, reflecting both regulatory pressure on water consumption and technology maturation. The smart textiles market is forecast to expand from $2.41 billion to $5.56 billion by 2030, with healthcare and military applications driving premium segments. The AI in textile manufacturing market reached $1.48 billion in 2024, with projections suggesting acceleration as implementation tools become more accessible and ROI demonstrations accumulate.</w:t>
      </w:r>
    </w:p>
    <w:p>
      <w:pPr>
        <w:pStyle w:val="Heading2"/>
        <w:spacing w:after="180" w:before="360" w:line="312"/>
        <w:jc w:val="left"/>
      </w:pPr>
      <w:bookmarkStart w:id="100061" w:name="_Toc100061"/>
      <w:r>
        <w:rPr>
          <w:rFonts w:ascii="Times New Roman" w:eastAsia="SimHei"/>
          <w:b/>
          <w:bCs/>
          <w:color w:val="1284BA"/>
          <w:sz w:val="28"/>
          <w:szCs w:val="28"/>
        </w:rPr>
        <w:t xml:space="preserve">13.2 Investment Trends</w:t>
      </w:r>
      <w:bookmarkEnd w:id="100061"/>
    </w:p>
    <w:p>
      <w:pPr>
        <w:spacing w:after="120" w:line="312"/>
        <w:ind w:firstLine="480"/>
        <w:jc w:val="both"/>
      </w:pPr>
      <w:r>
        <w:rPr>
          <w:rFonts w:ascii="Times New Roman" w:eastAsia="SimSun"/>
          <w:color w:val="000000"/>
          <w:sz w:val="24"/>
          <w:szCs w:val="24"/>
        </w:rPr>
        <w:t xml:space="preserve">Venture capital and corporate investment in textile technology startups has increased significantly, with sustainability-focused companies attracting the majority of funding. Key investment areas include chemical recycling technologies (with companies such as Worn Again Technologies and Gr3n securing major funding rounds), digital printing and dyeing systems (Imogo, Alchemie Technology), and smart textile platforms (Myant, Boray). Government funding, particularly through the EU's Horizon Europe program and China's Ministry of Science and Technology, continues to support fundamental research and demonstration projects. The total annual investment in textile technology R&amp;D is estimated at $2.5-3.0 billion globally, with approximately 40% directed toward sustainability innovations.</w:t>
      </w:r>
    </w:p>
    <w:p>
      <w:pPr>
        <w:pStyle w:val="Heading2"/>
        <w:spacing w:after="180" w:before="360" w:line="312"/>
        <w:jc w:val="left"/>
      </w:pPr>
      <w:bookmarkStart w:id="100062" w:name="_Toc100062"/>
      <w:r>
        <w:rPr>
          <w:rFonts w:ascii="Times New Roman" w:eastAsia="SimHei"/>
          <w:b/>
          <w:bCs/>
          <w:color w:val="1284BA"/>
          <w:sz w:val="28"/>
          <w:szCs w:val="28"/>
        </w:rPr>
        <w:t xml:space="preserve">13.3 Regulatory Drivers</w:t>
      </w:r>
      <w:bookmarkEnd w:id="100062"/>
    </w:p>
    <w:p>
      <w:pPr>
        <w:spacing w:after="120" w:line="312"/>
        <w:ind w:firstLine="480"/>
        <w:jc w:val="both"/>
      </w:pPr>
      <w:r>
        <w:rPr>
          <w:rFonts w:ascii="Times New Roman" w:eastAsia="SimSun"/>
          <w:color w:val="000000"/>
          <w:sz w:val="24"/>
          <w:szCs w:val="24"/>
        </w:rPr>
        <w:t xml:space="preserve">Regulatory frameworks are the most powerful driver of textile technology innovation and adoption. The EU's comprehensive textile sustainability regulation package, including the Strategy for Sustainable and Circular Textiles, Digital Product Passport requirements, and the revised Waste Framework Directive, creates legally binding obligations that will reshape the industry by 2030. PFAS restrictions, already implemented in several US states and EU member states, are driving urgent demand for alternative water and oil repellent finishes. Extended Producer Responsibility (EPR) schemes for textiles, now operational in France and planned across the EU, create financial incentives for design-for-recyclability and closed-loop systems. These regulatory drivers ensure sustained demand for research solutions in sustainable textile processing and circular economy approaches.</w:t>
      </w:r>
    </w:p>
    <w:p>
      <w:pPr>
        <w:spacing w:after="60" w:before="200"/>
        <w:jc w:val="center"/>
      </w:pPr>
      <w:r>
        <w:rPr>
          <w:rFonts w:ascii="Times New Roman"/>
          <w:i/>
          <w:iCs/>
          <w:color w:val="606060"/>
          <w:sz w:val="21"/>
          <w:szCs w:val="21"/>
        </w:rPr>
        <w:t xml:space="preserve">[Image: 05_market_growth_projections.png]</w:t>
      </w:r>
    </w:p>
    <w:p>
      <w:pPr>
        <w:spacing w:after="200"/>
        <w:jc w:val="center"/>
      </w:pPr>
      <w:r>
        <w:rPr>
          <w:rFonts w:ascii="Times New Roman"/>
          <w:i/>
          <w:iCs/>
          <w:color w:val="606060"/>
          <w:sz w:val="21"/>
          <w:szCs w:val="21"/>
        </w:rPr>
        <w:t xml:space="preserve">Figure 13-1: Market Growth Projections for Key Textile Technology Sectors (2024-2034)</w:t>
      </w:r>
    </w:p>
    <w:p>
      <w:pPr>
        <w:pStyle w:val="Heading1"/>
        <w:spacing w:after="240" w:before="480" w:line="312"/>
        <w:jc w:val="left"/>
      </w:pPr>
      <w:bookmarkStart w:id="100063" w:name="_Toc100063"/>
      <w:r>
        <w:rPr>
          <w:rFonts w:ascii="Times New Roman" w:eastAsia="SimHei"/>
          <w:b/>
          <w:bCs/>
          <w:color w:val="1284BA"/>
          <w:sz w:val="32"/>
          <w:szCs w:val="32"/>
        </w:rPr>
        <w:t xml:space="preserve">14. Top 10 Recommended Research Topics for Publication</w:t>
      </w:r>
      <w:bookmarkEnd w:id="100063"/>
    </w:p>
    <w:p>
      <w:pPr>
        <w:spacing w:after="120" w:line="312"/>
        <w:ind w:firstLine="480"/>
        <w:jc w:val="both"/>
      </w:pPr>
      <w:r>
        <w:rPr>
          <w:rFonts w:ascii="Times New Roman" w:eastAsia="SimSun"/>
          <w:color w:val="000000"/>
          <w:sz w:val="24"/>
          <w:szCs w:val="24"/>
        </w:rPr>
        <w:t xml:space="preserve">This section presents ten carefully selected research topics that offer the optimal combination of scientific significance, publication potential, and practical impact. Each topic is analyzed in terms of its importance, current research status, target journal, research approach, and expected timeline.</w:t>
      </w:r>
    </w:p>
    <w:p>
      <w:pPr>
        <w:pStyle w:val="Heading2"/>
        <w:spacing w:after="180" w:before="360" w:line="312"/>
        <w:jc w:val="left"/>
      </w:pPr>
      <w:bookmarkStart w:id="100064" w:name="_Toc100064"/>
      <w:r>
        <w:rPr>
          <w:rFonts w:ascii="Times New Roman" w:eastAsia="SimHei"/>
          <w:b/>
          <w:bCs/>
          <w:color w:val="1284BA"/>
          <w:sz w:val="28"/>
          <w:szCs w:val="28"/>
        </w:rPr>
        <w:t xml:space="preserve">14.1 Ionic Liquid-Based Single-Step Cellulose Dissolution and Dyeing</w:t>
      </w:r>
      <w:bookmarkEnd w:id="100064"/>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This topic addresses the fundamental challenge of sustainable cotton processing by potentially eliminating multiple water-intensive steps. Cotton processing currently consumes approximately 200 liters of water per kilogram of fabric, and a single-step ionic liquid process could reduce this by over 90%, representing a transformative sustainability advance.</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Approximately 30-40 publications exist on ionic liquid cellulose dissolution, but fewer than 10 specifically address combined dissolution-dyeing processes. The field is in early exploration with no established methodology.</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Carbohydrate Polymers (IF 11.2) for cellulose-focused work; Chemical Engineering Journal (IF 13.3) for process engineering emphasis.</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Screen commercially available ionic liquids for cellulose dissolution and dye compatibility; develop optimized dissolution-dyeing protocols; characterize fiber properties and color fastness; design ionic liquid recovery systems.</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12-18 months from project initiation to journal submission.</w:t>
      </w:r>
    </w:p>
    <w:p>
      <w:pPr>
        <w:pStyle w:val="Heading2"/>
        <w:spacing w:after="180" w:before="360" w:line="312"/>
        <w:jc w:val="left"/>
      </w:pPr>
      <w:bookmarkStart w:id="100065" w:name="_Toc100065"/>
      <w:r>
        <w:rPr>
          <w:rFonts w:ascii="Times New Roman" w:eastAsia="SimHei"/>
          <w:b/>
          <w:bCs/>
          <w:color w:val="1284BA"/>
          <w:sz w:val="28"/>
          <w:szCs w:val="28"/>
        </w:rPr>
        <w:t xml:space="preserve">14.2 AI-Optimized Supercritical CO2 Dyeing Parameters for Cotton</w:t>
      </w:r>
      <w:bookmarkEnd w:id="100065"/>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Combining AI optimization with scCO2 dyeing for cotton addresses two high-growth research domains simultaneously. The challenge of optimizing multiple interdependent process parameters (pressure, temperature, time, co-solvent concentration) is ideally suited for machine learning approaches.</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AI optimization has been applied to conventional dyeing processes, but no published study combines AI with scCO2 cotton dyeing. This represents a genuine research frontier.</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Journal of CO2 Utilization (IF 7.8) or Journal of Cleaner Production (IF 11.1).</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Design of experiments to generate training data; neural network model development for parameter optimization; validation experiments comparing AI-optimized and conventionally optimized dyeing results.</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15-20 months, including data generation phase.</w:t>
      </w:r>
    </w:p>
    <w:p>
      <w:pPr>
        <w:pStyle w:val="Heading2"/>
        <w:spacing w:after="180" w:before="360" w:line="312"/>
        <w:jc w:val="left"/>
      </w:pPr>
      <w:bookmarkStart w:id="100066" w:name="_Toc100066"/>
      <w:r>
        <w:rPr>
          <w:rFonts w:ascii="Times New Roman" w:eastAsia="SimHei"/>
          <w:b/>
          <w:bCs/>
          <w:color w:val="1284BA"/>
          <w:sz w:val="28"/>
          <w:szCs w:val="28"/>
        </w:rPr>
        <w:t xml:space="preserve">14.3 Bio-Based Auxiliaries for Sustainable Reactive Dyeing of Cotton</w:t>
      </w:r>
      <w:bookmarkEnd w:id="100066"/>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Conventional reactive cotton dyeing requires 40-80 g/L sodium sulfate as an exhausting agent, generating massive salt-laden effluent. Bio-based alternatives could eliminate this environmental burden while maintaining dyeing quality.</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Active research with approximately 100-150 publications, but most focus on individual bio-based agents rather than comprehensive auxiliary systems. No commercial bio-based auxiliary system has achieved parity with conventional salt-based processes.</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Journal of Cleaner Production (IF 11.1) or Cellulose (IF 5.7) for faster publication.</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Screen chitosan, cyclodextrin, and tannin derivatives as salt replacements; optimize combination systems; evaluate dyeing quality, fastness, and effluent characteristics; conduct techno-economic analysis.</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10-14 months.</w:t>
      </w:r>
    </w:p>
    <w:p>
      <w:pPr>
        <w:pStyle w:val="Heading2"/>
        <w:spacing w:after="180" w:before="360" w:line="312"/>
        <w:jc w:val="left"/>
      </w:pPr>
      <w:bookmarkStart w:id="100067" w:name="_Toc100067"/>
      <w:r>
        <w:rPr>
          <w:rFonts w:ascii="Times New Roman" w:eastAsia="SimHei"/>
          <w:b/>
          <w:bCs/>
          <w:color w:val="1284BA"/>
          <w:sz w:val="28"/>
          <w:szCs w:val="28"/>
        </w:rPr>
        <w:t xml:space="preserve">14.4 PFAS-Free Durable Water Repellent Finishing Using Bio-Based Chemistry</w:t>
      </w:r>
      <w:bookmarkEnd w:id="100067"/>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PFAS restrictions are creating urgent demand for alternatives across the textile industry. The timeline for regulatory compliance is short, and current alternatives fall short of PFAS performance, particularly in durability and oil repellency.</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Rapidly growing with approximately 200 publications in the past three years, but most focus on water repellency only. Durable bio-based alternatives remain underdeveloped.</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Progress in Organic Coatings (IF 6.6) or Chemical Engineering Journal (IF 13.3) for high-impact results.</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Develop wax-silica hybrid coatings; test durability through 50+ washing cycles; evaluate both water and oil repellency; assess environmental profile using LCA methodology.</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12-16 months.</w:t>
      </w:r>
    </w:p>
    <w:p>
      <w:pPr>
        <w:pStyle w:val="Heading2"/>
        <w:spacing w:after="180" w:before="360" w:line="312"/>
        <w:jc w:val="left"/>
      </w:pPr>
      <w:bookmarkStart w:id="100068" w:name="_Toc100068"/>
      <w:r>
        <w:rPr>
          <w:rFonts w:ascii="Times New Roman" w:eastAsia="SimHei"/>
          <w:b/>
          <w:bCs/>
          <w:color w:val="1284BA"/>
          <w:sz w:val="28"/>
          <w:szCs w:val="28"/>
        </w:rPr>
        <w:t xml:space="preserve">14.5 Digital Twin Framework for Textile Wet Processing Optimization</w:t>
      </w:r>
      <w:bookmarkEnd w:id="100068"/>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No published digital twin framework exists for textile wet processing, making this a foundational contribution. The potential impact on process efficiency, quality consistency, and sustainability is substantial.</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Zero publications specifically on digital twins for textile wet processing. Adjacent manufacturing domains (metal, chemical) have established frameworks that can be adapted.</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Journal of Manufacturing Systems (IF 12.1) or Computers &amp; Chemical Engineering (IF 4.3) for interdisciplinary positioning.</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Develop conceptual framework based on adjacent industries; create process models for key wet processing operations; implement sensor integration and data architecture; validate with pilot-scale experiments.</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18-24 months for a comprehensive framework paper.</w:t>
      </w:r>
    </w:p>
    <w:p>
      <w:pPr>
        <w:pStyle w:val="Heading2"/>
        <w:spacing w:after="180" w:before="360" w:line="312"/>
        <w:jc w:val="left"/>
      </w:pPr>
      <w:bookmarkStart w:id="100069" w:name="_Toc100069"/>
      <w:r>
        <w:rPr>
          <w:rFonts w:ascii="Times New Roman" w:eastAsia="SimHei"/>
          <w:b/>
          <w:bCs/>
          <w:color w:val="1284BA"/>
          <w:sz w:val="28"/>
          <w:szCs w:val="28"/>
        </w:rPr>
        <w:t xml:space="preserve">14.6 Bacterial Self-Pigmenting Cellulose Textiles: Scale-up Challenges</w:t>
      </w:r>
      <w:bookmarkEnd w:id="100069"/>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This represents a truly transformative concept that could eliminate conventional dyeing entirely. The environmental implications are profound, as dyeing is the most polluting stage of textile manufacturing.</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Fewer than 10 publications globally. The concept has been demonstrated at laboratory scale for limited colors, but scale-up challenges are unexplored.</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Nature Communications (IF 16.6) for breakthrough results; Bioresource Technology (IF 9.7) for bioprocess emphasis.</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Select pigment-producing bacterial strains; develop in-situ pigmentation protocols for cellulose substrates; address color consistency and fastness challenges; design bioreactor-based scale-up systems.</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18-24 months due to the novelty and interdisciplinary nature.</w:t>
      </w:r>
    </w:p>
    <w:p>
      <w:pPr>
        <w:pStyle w:val="Heading2"/>
        <w:spacing w:after="180" w:before="360" w:line="312"/>
        <w:jc w:val="left"/>
      </w:pPr>
      <w:bookmarkStart w:id="100070" w:name="_Toc100070"/>
      <w:r>
        <w:rPr>
          <w:rFonts w:ascii="Times New Roman" w:eastAsia="SimHei"/>
          <w:b/>
          <w:bCs/>
          <w:color w:val="1284BA"/>
          <w:sz w:val="28"/>
          <w:szCs w:val="28"/>
        </w:rPr>
        <w:t xml:space="preserve">14.7 Enzyme Cocktail Processing for Multi-functional Bio-finishing</w:t>
      </w:r>
      <w:bookmarkEnd w:id="100070"/>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Individual enzyme treatments for bio-polishing, desizing, and scouring are established, but combining multiple enzymes in cocktail formulations for simultaneous multi-functional finishing is largely unexplored. This approach could dramatically reduce processing steps and chemical inputs.</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Approximately 50-70 publications on enzyme combinations, but most involve only two enzymes. Multi-enzyme cocktail optimization for more than three simultaneous functions is novel.</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Biotechnology Advances (IF 14.2) or Enzyme and Microbial Technology (IF 3.6) for faster publication.</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Screen compatible enzyme combinations; optimize cocktail composition using statistical design; evaluate multi-functional performance; assess cost-effectiveness compared to conventional processing.</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10-14 months.</w:t>
      </w:r>
    </w:p>
    <w:p>
      <w:pPr>
        <w:pStyle w:val="Heading2"/>
        <w:spacing w:after="180" w:before="360" w:line="312"/>
        <w:jc w:val="left"/>
      </w:pPr>
      <w:bookmarkStart w:id="100071" w:name="_Toc100071"/>
      <w:r>
        <w:rPr>
          <w:rFonts w:ascii="Times New Roman" w:eastAsia="SimHei"/>
          <w:b/>
          <w:bCs/>
          <w:color w:val="1284BA"/>
          <w:sz w:val="28"/>
          <w:szCs w:val="28"/>
        </w:rPr>
        <w:t xml:space="preserve">14.8 Self-Healing Antimicrobial Coatings for Medical Textiles</w:t>
      </w:r>
      <w:bookmarkEnd w:id="100071"/>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Medical textiles require reliable long-term antimicrobial performance, but current coatings degrade during washing and use. Self-healing coatings that regenerate antimicrobial activity would dramatically extend the functional lifetime of medical textile products, reducing both cost and waste.</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Self-healing coatings are established in other materials fields but have been applied to textile antimicrobial systems in fewer than 15 publications. The intersection of self-healing mechanisms and antimicrobial delivery is novel.</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Bioactive Materials (IF 18.9) or Acta Biomaterialia (IF 10.3) for biomedical positioning.</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Design microcapsule-based self-healing systems with antimicrobial payloads; evaluate healing-triggered antimicrobial regeneration; test under simulated medical textile use conditions; assess biocompatibility.</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14-18 months.</w:t>
      </w:r>
    </w:p>
    <w:p>
      <w:pPr>
        <w:pStyle w:val="Heading2"/>
        <w:spacing w:after="180" w:before="360" w:line="312"/>
        <w:jc w:val="left"/>
      </w:pPr>
      <w:bookmarkStart w:id="100072" w:name="_Toc100072"/>
      <w:r>
        <w:rPr>
          <w:rFonts w:ascii="Times New Roman" w:eastAsia="SimHei"/>
          <w:b/>
          <w:bCs/>
          <w:color w:val="1284BA"/>
          <w:sz w:val="28"/>
          <w:szCs w:val="28"/>
        </w:rPr>
        <w:t xml:space="preserve">14.9 Radiative Cooling Textile Surfaces for Zero-Energy Thermal Management</w:t>
      </w:r>
      <w:bookmarkEnd w:id="100072"/>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With global cooling energy demand projected to triple by 2050, passive radiative cooling textiles offer a zero-energy solution for personal thermal management. This technology could eliminate the need for air conditioning in many scenarios, with enormous energy and carbon emission savings potential.</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Approximately 40-50 publications on radiative cooling materials, but fewer than 10 specifically on textile-format implementations. Most research is from materials science groups without textile manufacturing expertise.</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Advanced Functional Materials (IF 19.0) or Nano Energy (IF 17.6) for high impact; Textile Research Journal (IF 2.3) for textile-focused work.</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Design hierarchical textile surface structures for broadband solar reflection and mid-infrared emission; fabricate using scalable textile processes; characterize cooling performance under real outdoor conditions; evaluate wearability and durability.</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14-20 months.</w:t>
      </w:r>
    </w:p>
    <w:p>
      <w:pPr>
        <w:pStyle w:val="Heading2"/>
        <w:spacing w:after="180" w:before="360" w:line="312"/>
        <w:jc w:val="left"/>
      </w:pPr>
      <w:bookmarkStart w:id="100073" w:name="_Toc100073"/>
      <w:r>
        <w:rPr>
          <w:rFonts w:ascii="Times New Roman" w:eastAsia="SimHei"/>
          <w:b/>
          <w:bCs/>
          <w:color w:val="1284BA"/>
          <w:sz w:val="28"/>
          <w:szCs w:val="28"/>
        </w:rPr>
        <w:t xml:space="preserve">14.10 Machine Learning Prediction Models for Dye Shade Matching</w:t>
      </w:r>
      <w:bookmarkEnd w:id="100073"/>
    </w:p>
    <w:p>
      <w:pPr>
        <w:spacing w:after="120" w:line="312"/>
        <w:ind w:firstLine="480"/>
        <w:jc w:val="both"/>
      </w:pPr>
      <w:r>
        <w:rPr>
          <w:rFonts w:ascii="Times New Roman" w:eastAsia="SimSun"/>
          <w:b/>
          <w:bCs/>
          <w:color w:val="000000"/>
          <w:sz w:val="24"/>
          <w:szCs w:val="24"/>
        </w:rPr>
        <w:t xml:space="preserve">Why Important: </w:t>
      </w:r>
      <w:r>
        <w:rPr>
          <w:rFonts w:ascii="Times New Roman" w:eastAsia="SimSun"/>
          <w:color w:val="000000"/>
          <w:sz w:val="24"/>
          <w:szCs w:val="24"/>
        </w:rPr>
        <w:t xml:space="preserve">Shade matching remains one of the most time-consuming and skill-dependent operations in textile dyeing, typically requiring 3-5 laboratory trials. ML-based prediction could reduce this to 1-2 trials, saving significant time, materials, and energy while improving first-pass success rates.</w:t>
      </w:r>
    </w:p>
    <w:p>
      <w:pPr>
        <w:spacing w:after="120" w:line="312"/>
        <w:ind w:firstLine="480"/>
        <w:jc w:val="both"/>
      </w:pPr>
      <w:r>
        <w:rPr>
          <w:rFonts w:ascii="Times New Roman" w:eastAsia="SimSun"/>
          <w:b/>
          <w:bCs/>
          <w:color w:val="000000"/>
          <w:sz w:val="24"/>
          <w:szCs w:val="24"/>
        </w:rPr>
        <w:t xml:space="preserve">Current Global Research Status: </w:t>
      </w:r>
      <w:r>
        <w:rPr>
          <w:rFonts w:ascii="Times New Roman" w:eastAsia="SimSun"/>
          <w:color w:val="000000"/>
          <w:sz w:val="24"/>
          <w:szCs w:val="24"/>
        </w:rPr>
        <w:t xml:space="preserve">Approximately 60-80 publications on ML for dyeing optimization, but most focus on process parameter optimization rather than shade prediction specifically. Deep learning approaches for multi-dye shade prediction are underexplored.</w:t>
      </w:r>
    </w:p>
    <w:p>
      <w:pPr>
        <w:spacing w:after="120" w:line="312"/>
        <w:ind w:firstLine="480"/>
        <w:jc w:val="both"/>
      </w:pPr>
      <w:r>
        <w:rPr>
          <w:rFonts w:ascii="Times New Roman" w:eastAsia="SimSun"/>
          <w:b/>
          <w:bCs/>
          <w:color w:val="000000"/>
          <w:sz w:val="24"/>
          <w:szCs w:val="24"/>
        </w:rPr>
        <w:t xml:space="preserve">Target Journal: </w:t>
      </w:r>
      <w:r>
        <w:rPr>
          <w:rFonts w:ascii="Times New Roman" w:eastAsia="SimSun"/>
          <w:color w:val="000000"/>
          <w:sz w:val="24"/>
          <w:szCs w:val="24"/>
        </w:rPr>
        <w:t xml:space="preserve">Expert Systems with Applications (IF 8.5) or Color Research &amp; Application (IF 1.6) for domain-specific work.</w:t>
      </w:r>
    </w:p>
    <w:p>
      <w:pPr>
        <w:spacing w:after="120" w:line="312"/>
        <w:ind w:firstLine="480"/>
        <w:jc w:val="both"/>
      </w:pPr>
      <w:r>
        <w:rPr>
          <w:rFonts w:ascii="Times New Roman" w:eastAsia="SimSun"/>
          <w:b/>
          <w:bCs/>
          <w:color w:val="000000"/>
          <w:sz w:val="24"/>
          <w:szCs w:val="24"/>
        </w:rPr>
        <w:t xml:space="preserve">Research Approach: </w:t>
      </w:r>
      <w:r>
        <w:rPr>
          <w:rFonts w:ascii="Times New Roman" w:eastAsia="SimSun"/>
          <w:color w:val="000000"/>
          <w:sz w:val="24"/>
          <w:szCs w:val="24"/>
        </w:rPr>
        <w:t xml:space="preserve">Collect comprehensive dyeing database with spectrophotometric measurements; develop deep learning models for shade prediction from recipe parameters; validate with industrial dyeing trials; compare with conventional prediction methods.</w:t>
      </w:r>
    </w:p>
    <w:p>
      <w:pPr>
        <w:spacing w:after="120" w:line="312"/>
        <w:ind w:firstLine="480"/>
        <w:jc w:val="both"/>
      </w:pPr>
      <w:r>
        <w:rPr>
          <w:rFonts w:ascii="Times New Roman" w:eastAsia="SimSun"/>
          <w:b/>
          <w:bCs/>
          <w:color w:val="000000"/>
          <w:sz w:val="24"/>
          <w:szCs w:val="24"/>
        </w:rPr>
        <w:t xml:space="preserve">Expected Timeline: </w:t>
      </w:r>
      <w:r>
        <w:rPr>
          <w:rFonts w:ascii="Times New Roman" w:eastAsia="SimSun"/>
          <w:color w:val="000000"/>
          <w:sz w:val="24"/>
          <w:szCs w:val="24"/>
        </w:rPr>
        <w:t xml:space="preserve">10-14 months.</w:t>
      </w:r>
    </w:p>
    <w:p>
      <w:pPr>
        <w:pStyle w:val="Heading1"/>
        <w:spacing w:after="240" w:before="480" w:line="312"/>
        <w:jc w:val="left"/>
      </w:pPr>
      <w:bookmarkStart w:id="100074" w:name="_Toc100074"/>
      <w:r>
        <w:rPr>
          <w:rFonts w:ascii="Times New Roman" w:eastAsia="SimHei"/>
          <w:b/>
          <w:bCs/>
          <w:color w:val="1284BA"/>
          <w:sz w:val="32"/>
          <w:szCs w:val="32"/>
        </w:rPr>
        <w:t xml:space="preserve">15. Action Plan &amp; Next Steps</w:t>
      </w:r>
      <w:bookmarkEnd w:id="100074"/>
    </w:p>
    <w:p>
      <w:pPr>
        <w:pStyle w:val="Heading2"/>
        <w:spacing w:after="180" w:before="360" w:line="312"/>
        <w:jc w:val="left"/>
      </w:pPr>
      <w:bookmarkStart w:id="100075" w:name="_Toc100075"/>
      <w:r>
        <w:rPr>
          <w:rFonts w:ascii="Times New Roman" w:eastAsia="SimHei"/>
          <w:b/>
          <w:bCs/>
          <w:color w:val="1284BA"/>
          <w:sz w:val="28"/>
          <w:szCs w:val="28"/>
        </w:rPr>
        <w:t xml:space="preserve">15.1 Immediate Actions (Week 1-2)</w:t>
      </w:r>
      <w:bookmarkEnd w:id="100075"/>
    </w:p>
    <w:p>
      <w:pPr>
        <w:spacing w:after="120" w:line="312"/>
        <w:ind w:firstLine="480"/>
        <w:jc w:val="both"/>
      </w:pPr>
      <w:r>
        <w:rPr>
          <w:rFonts w:ascii="Times New Roman" w:eastAsia="SimSun"/>
          <w:color w:val="000000"/>
          <w:sz w:val="24"/>
          <w:szCs w:val="24"/>
        </w:rPr>
        <w:t xml:space="preserve">The first two weeks should focus on strategic positioning and resource alignment. Researchers should conduct a detailed self-assessment of their current capabilities, available equipment, and existing data resources relative to the ten recommended research topics. This assessment should identify which topics align most closely with existing expertise and infrastructure, minimizing the start-up time and maximizing the probability of successful execution. Simultaneously, researchers should initiate literature reviews for their top 2-3 topic choices, focusing on the most recent publications in target journals to understand current methodological standards and identify specific angles for differentiation. Establishing contact with potential collaborators, particularly for interdisciplinary topics such as digital twins (requiring both textile chemistry and data science expertise) and bacterial self-pigmenting (requiring microbiology capability), should begin immediately as collaboration agreements often require weeks to formalize.</w:t>
      </w:r>
    </w:p>
    <w:p>
      <w:pPr>
        <w:pStyle w:val="Heading2"/>
        <w:spacing w:after="180" w:before="360" w:line="312"/>
        <w:jc w:val="left"/>
      </w:pPr>
      <w:bookmarkStart w:id="100076" w:name="_Toc100076"/>
      <w:r>
        <w:rPr>
          <w:rFonts w:ascii="Times New Roman" w:eastAsia="SimHei"/>
          <w:b/>
          <w:bCs/>
          <w:color w:val="1284BA"/>
          <w:sz w:val="28"/>
          <w:szCs w:val="28"/>
        </w:rPr>
        <w:t xml:space="preserve">15.2 Short-Term Goals (Month 1-3)</w:t>
      </w:r>
      <w:bookmarkEnd w:id="100076"/>
    </w:p>
    <w:p>
      <w:pPr>
        <w:spacing w:after="120" w:line="312"/>
        <w:ind w:firstLine="480"/>
        <w:jc w:val="both"/>
      </w:pPr>
      <w:r>
        <w:rPr>
          <w:rFonts w:ascii="Times New Roman" w:eastAsia="SimSun"/>
          <w:color w:val="000000"/>
          <w:sz w:val="24"/>
          <w:szCs w:val="24"/>
        </w:rPr>
        <w:t xml:space="preserve">The first quarter should deliver concrete research outputs that establish momentum and generate preliminary data for larger studies. Priority activities include completing comprehensive literature reviews with systematic documentation, developing detailed experimental protocols and securing necessary materials and equipment, and generating initial proof-of-concept data for the selected research topic. For researchers targeting the faster publication opportunities (bio-based auxiliaries, ML shade matching), the first experimental cycle should be completed within this period, with data analysis and initial manuscript drafting beginning by month three. For more complex topics (digital twins, bacterial self-pigmenting), the first quarter should deliver a validated conceptual framework and proof-of-concept demonstrations. Submission of at least one conference paper or preprint during this period is recommended to establish priority.</w:t>
      </w:r>
    </w:p>
    <w:p>
      <w:pPr>
        <w:pStyle w:val="Heading2"/>
        <w:spacing w:after="180" w:before="360" w:line="312"/>
        <w:jc w:val="left"/>
      </w:pPr>
      <w:bookmarkStart w:id="100077" w:name="_Toc100077"/>
      <w:r>
        <w:rPr>
          <w:rFonts w:ascii="Times New Roman" w:eastAsia="SimHei"/>
          <w:b/>
          <w:bCs/>
          <w:color w:val="1284BA"/>
          <w:sz w:val="28"/>
          <w:szCs w:val="28"/>
        </w:rPr>
        <w:t xml:space="preserve">15.3 Medium-Term Goals (Month 3-6)</w:t>
      </w:r>
      <w:bookmarkEnd w:id="100077"/>
    </w:p>
    <w:p>
      <w:pPr>
        <w:spacing w:after="120" w:line="312"/>
        <w:ind w:firstLine="480"/>
        <w:jc w:val="both"/>
      </w:pPr>
      <w:r>
        <w:rPr>
          <w:rFonts w:ascii="Times New Roman" w:eastAsia="SimSun"/>
          <w:color w:val="000000"/>
          <w:sz w:val="24"/>
          <w:szCs w:val="24"/>
        </w:rPr>
        <w:t xml:space="preserve">The medium-term phase should focus on generating publishable results and expanding research scope. For the faster topics, this period should see manuscript completion and submission to target journals, along with initiation of follow-up studies that deepen the initial findings. For complex topics, this period should deliver comprehensive experimental data sets and begin manuscript preparation. Researchers should also explore additional publication angles from their data, such as methodology papers, review articles, or perspective pieces that can be published in shorter timeframes while the main research continues. International collaboration should be formalized during this period, with joint funding applications submitted to support larger-scale follow-up research. Participation in major textile research conferences (INC, AATCC, ITC) during this period provides networking opportunities and feedback on preliminary findings.</w:t>
      </w:r>
    </w:p>
    <w:p>
      <w:pPr>
        <w:pStyle w:val="Heading2"/>
        <w:spacing w:after="180" w:before="360" w:line="312"/>
        <w:jc w:val="left"/>
      </w:pPr>
      <w:bookmarkStart w:id="100078" w:name="_Toc100078"/>
      <w:r>
        <w:rPr>
          <w:rFonts w:ascii="Times New Roman" w:eastAsia="SimHei"/>
          <w:b/>
          <w:bCs/>
          <w:color w:val="1284BA"/>
          <w:sz w:val="28"/>
          <w:szCs w:val="28"/>
        </w:rPr>
        <w:t xml:space="preserve">15.4 Long-Term Strategy (6-12 Months)</w:t>
      </w:r>
      <w:bookmarkEnd w:id="100078"/>
    </w:p>
    <w:p>
      <w:pPr>
        <w:spacing w:after="120" w:line="312"/>
        <w:ind w:firstLine="480"/>
        <w:jc w:val="both"/>
      </w:pPr>
      <w:r>
        <w:rPr>
          <w:rFonts w:ascii="Times New Roman" w:eastAsia="SimSun"/>
          <w:color w:val="000000"/>
          <w:sz w:val="24"/>
          <w:szCs w:val="24"/>
        </w:rPr>
        <w:t xml:space="preserve">The long-term strategy should establish sustainable research programs rather than individual projects. By month six, researchers should have at least one manuscript under review and a clear pipeline of subsequent studies. The 6-12 month period should focus on building a coherent body of work that establishes the researcher as a recognized authority in their chosen niche. This includes publishing a series of related papers that build upon each other, developing standardized methodologies that other researchers adopt, and establishing research partnerships that ensure continued access to resources and expertise. Strategic activities include applying for research grants to support expanded studies, recruiting graduate students to build research capacity, and engaging with industry partners for applied validation and technology transfer. Researchers should also contribute to the broader research community through invited reviews, editorial board participation, and conference organization, activities that enhance visibility and influence within the field. The ultimate objective is to transition from responsive individual publication efforts to proactive leadership of a recognized research program that shapes the direction of textile engineering research in the selected domain.</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06060"/>
        <w:sz w:val="18"/>
        <w:szCs w:val="18"/>
      </w:rPr>
      <w:t xml:space="preserve">- </w:t>
    </w:r>
    <w:r>
      <w:rPr>
        <w:rFonts w:ascii="Times New Roman"/>
        <w:color w:val="606060"/>
        <w:sz w:val="18"/>
        <w:szCs w:val="18"/>
      </w:rPr>
      <w:fldChar w:fldCharType="begin"/>
      <w:instrText xml:space="preserve">PAGE</w:instrText>
      <w:fldChar w:fldCharType="separate"/>
      <w:fldChar w:fldCharType="end"/>
    </w:r>
    <w:r>
      <w:rPr>
        <w:rFonts w:ascii="Times New Roman"/>
        <w:color w:val="606060"/>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06060"/>
        <w:sz w:val="18"/>
        <w:szCs w:val="18"/>
      </w:rPr>
      <w:t xml:space="preserve">- </w:t>
    </w:r>
    <w:r>
      <w:rPr>
        <w:rFonts w:ascii="Times New Roman"/>
        <w:color w:val="606060"/>
        <w:sz w:val="18"/>
        <w:szCs w:val="18"/>
      </w:rPr>
      <w:fldChar w:fldCharType="begin"/>
      <w:instrText xml:space="preserve">PAGE</w:instrText>
      <w:fldChar w:fldCharType="separate"/>
      <w:fldChar w:fldCharType="end"/>
    </w:r>
    <w:r>
      <w:rPr>
        <w:rFonts w:ascii="Times New Roman"/>
        <w:color w:val="60606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1"/>
      </w:pBdr>
      <w:jc w:val="center"/>
    </w:pPr>
    <w:r>
      <w:rPr>
        <w:rFonts w:ascii="Times New Roman" w:eastAsia="SimSun"/>
        <w:color w:val="606060"/>
        <w:sz w:val="18"/>
        <w:szCs w:val="18"/>
      </w:rPr>
      <w:t xml:space="preserve">Textile Engineering Research Intelligence Report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1"/>
      </w:pBdr>
      <w:jc w:val="center"/>
    </w:pPr>
    <w:r>
      <w:rPr>
        <w:rFonts w:ascii="Times New Roman" w:eastAsia="SimSun"/>
        <w:color w:val="606060"/>
        <w:sz w:val="18"/>
        <w:szCs w:val="18"/>
      </w:rPr>
      <w:t xml:space="preserve">Textile Engineering Research Intelligence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Times New Roman" w:eastAsia="SimHei"/>
      <w:b/>
      <w:bCs/>
      <w:color w:val="1284BA"/>
      <w:sz w:val="32"/>
      <w:szCs w:val="32"/>
    </w:rPr>
  </w:style>
  <w:style w:type="paragraph" w:styleId="Heading2">
    <w:name w:val="Heading 2"/>
    <w:basedOn w:val="Normal"/>
    <w:next w:val="Normal"/>
    <w:qFormat/>
    <w:pPr>
      <w:spacing w:after="180" w:before="360" w:line="312"/>
      <w:outlineLvl w:val="1"/>
    </w:pPr>
    <w:rPr>
      <w:rFonts w:ascii="Times New Roman" w:eastAsia="SimHei"/>
      <w:b/>
      <w:bCs/>
      <w:color w:val="1284BA"/>
      <w:sz w:val="28"/>
      <w:szCs w:val="28"/>
    </w:rPr>
  </w:style>
  <w:style w:type="paragraph" w:styleId="Heading3">
    <w:name w:val="Heading 3"/>
    <w:basedOn w:val="Normal"/>
    <w:next w:val="Normal"/>
    <w:qFormat/>
    <w:pPr>
      <w:spacing w:after="120" w:before="240" w:line="312"/>
      <w:outlineLvl w:val="2"/>
    </w:pPr>
    <w:rPr>
      <w:rFonts w:ascii="Times New Roman" w:eastAsia="SimHei"/>
      <w:b/>
      <w:bCs/>
      <w:color w:val="1284B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2026-05-24T08:29:47.982Z</dcterms:created>
  <dcterms:modified xsi:type="dcterms:W3CDTF">2026-05-24T08:29:47.982Z</dcterms:modified>
</cp:coreProperties>
</file>

<file path=docProps/custom.xml><?xml version="1.0" encoding="utf-8"?>
<Properties xmlns="http://schemas.openxmlformats.org/officeDocument/2006/custom-properties" xmlns:vt="http://schemas.openxmlformats.org/officeDocument/2006/docPropsVTypes"/>
</file>