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Operation ECHOLEAK</w:t>
        <w:br/>
        <w:t>Incident Response Report</w:t>
      </w:r>
    </w:p>
    <w:p>
      <w:r>
        <w:t>Cormorant Capital Partners • Simulated Microsoft 365 Copilot incident</w:t>
      </w:r>
    </w:p>
    <w:p>
      <w:r>
        <w:t>Prepared by Golam Tanvir Rahman | 18 October 2026</w:t>
      </w:r>
    </w:p>
    <w:p>
      <w:pPr>
        <w:pStyle w:val="Heading1"/>
      </w:pPr>
      <w:r>
        <w:t>Executive summary</w:t>
      </w:r>
    </w:p>
    <w:p>
      <w:r>
        <w:t>The evidence supports external input manipulation through indirect prompt injection. Emily Chen asked Copilot to summarise an externally supplied quarterly report. Copilot then searched for unrelated confidential information, read 13 distinct files, and generated responses containing external image URLs with encoded information. A later response also disclosed system-prompt text and enterprise configuration from a retrieved file.</w:t>
      </w:r>
    </w:p>
    <w:p>
      <w:r>
        <w:t>The activity is inconsistent with the normal summarisation sessions reviewed. Those sessions did not record the same Graph file-search and file-read calls and remained focused on the requested work. The suspicious session combined novel sensitive-file access, rapid automated reads, and data-bearing external image references.</w:t>
      </w:r>
    </w:p>
    <w:p>
      <w:r>
        <w:t>Confirmed findings establish file access and disclosure within Copilot responses. The supplied evidence does not establish the complete data transmitted or prove that the external server received the image requests. Account compromise and persistent configuration tampering are not supported by the available records.</w:t>
      </w:r>
    </w:p>
    <w:p>
      <w:pPr>
        <w:pStyle w:val="Heading1"/>
      </w:pPr>
      <w:r>
        <w:t>Scope and assessment</w:t>
      </w:r>
    </w:p>
    <w:tbl>
      <w:tblPr>
        <w:tblW w:type="auto" w:w="0"/>
        <w:tblLayout w:type="fixed"/>
        <w:tblLook w:firstColumn="1" w:firstRow="1" w:lastColumn="0" w:lastRow="0" w:noHBand="0" w:noVBand="1" w:val="04A0"/>
      </w:tblPr>
      <w:tblGrid>
        <w:gridCol w:w="1944"/>
        <w:gridCol w:w="8136"/>
      </w:tblGrid>
      <w:tr>
        <w:trPr>
          <w:cantSplit/>
          <w:tblHeader/>
        </w:trPr>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Item</w:t>
            </w:r>
          </w:p>
        </w:tc>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Scope</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Incident date</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20 September 2026; investigation window 09:00–11:00 UTC</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Environment</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Simulated financial advisory firm; approximately 200 employees; M365 E5 with Copilot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Workspace and run</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LAW-HuntPractice; RunId el--17-20260920</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Primary identity</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emily.chen@cormorantcapital.com</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Comparison scope</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Normal Copilot usage; mark.ross@cormorantcapital.com also named in the case scope</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Evidence</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OfficeActivity_CL, CopilotAudit_CL, EntraSignIn_CL; supplied screenshots and pasted results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Assessment</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High priority for investigation due to sensitive file access and attempted external disclosure; not a formal production severity assignment</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Response status</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Analysis completed from supplied evidence; no containment or remediation execution documented</w:t>
            </w:r>
          </w:p>
        </w:tc>
      </w:tr>
    </w:tbl>
    <w:p>
      <w:r>
        <w:br w:type="page"/>
      </w:r>
    </w:p>
    <w:p>
      <w:pPr>
        <w:pStyle w:val="Heading1"/>
      </w:pPr>
      <w:r>
        <w:t>Attack timeline</w:t>
      </w:r>
    </w:p>
    <w:p>
      <w:r>
        <w:t>Times below are UTC on 20 September 2026. The supplied interface displays UTC−6, so 04:42 corresponds to 10:42 UTC. Exact tool-call times come from the pasted Copilot results; screenshot-only values that are truncated are not reconstructed.</w:t>
      </w:r>
    </w:p>
    <w:tbl>
      <w:tblPr>
        <w:tblW w:type="auto" w:w="0"/>
        <w:tblLayout w:type="fixed"/>
        <w:tblLook w:firstColumn="1" w:firstRow="1" w:lastColumn="0" w:lastRow="0" w:noHBand="0" w:noVBand="1" w:val="04A0"/>
      </w:tblPr>
      <w:tblGrid>
        <w:gridCol w:w="1944"/>
        <w:gridCol w:w="8136"/>
      </w:tblGrid>
      <w:tr>
        <w:trPr>
          <w:cantSplit/>
          <w:tblHeader/>
        </w:trPr>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Time UTC</w:t>
            </w:r>
          </w:p>
        </w:tc>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Observed event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Approximately 09:15</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External quarterly-report email received. Screenshot 1 shows MessageReceived and the attachment filter.</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10:42:08</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OfficeActivity_CL records FileAccessed for Q3-2026-Global-Markets-Review.docx in OneDrive. Screenshot 2.</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10:42:35</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Copilot invocation in the pasted results. Screenshot 3 shows the request: “Summarise the key findings of this quarterly report”.</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10:42:41–10:42:45</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Three Graph.SearchFiles calls target board minutes, M&amp;A acquisition targets, and salary reviews.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10:42:47–10:42:55</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Five Graph.ReadFile calls retrieve four business documents and the Copilot configuration file.</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10:43:08</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Summary contains four external image URLs with Base64 values in the d parameter. Screenshot 5.</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10:44:19</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Response exposes system-prompt text and enterprise configuration and includes a further external image reference. Screenshot 6.</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10:45:30–10:45:45</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Additional searches target confidential, restricted, board, acquisition, and salary material.</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20"/>
              </w:rPr>
              <w:t>10:45:46–10:46:26</w:t>
            </w:r>
          </w:p>
        </w:tc>
        <w:tc>
          <w:tcPr>
            <w:tcW w:type="dxa" w:w="8136"/>
            <w:tcBorders>
              <w:top w:val="single" w:sz="4" w:color="D9D9D9"/>
              <w:left w:val="single" w:sz="4" w:color="D9D9D9"/>
              <w:bottom w:val="single" w:sz="4" w:color="D9D9D9"/>
              <w:right w:val="single" w:sz="4" w:color="D9D9D9"/>
            </w:tcBorders>
            <w:shd w:fill="FFFFFF"/>
          </w:tcPr>
          <w:p>
            <w:pPr>
              <w:spacing w:after="100" w:before="100"/>
            </w:pPr>
            <w:r>
              <w:rPr>
                <w:b w:val="0"/>
                <w:sz w:val="20"/>
              </w:rPr>
              <w:t>Eight additional Graph.ReadFile calls access sensitive documents.</w:t>
            </w:r>
          </w:p>
        </w:tc>
      </w:tr>
      <w:tr>
        <w:trPr>
          <w:cantSplit/>
        </w:trPr>
        <w:tc>
          <w:tcPr>
            <w:tcW w:type="dxa" w:w="1944"/>
            <w:tcBorders>
              <w:top w:val="single" w:sz="4" w:color="D9D9D9"/>
              <w:left w:val="single" w:sz="4" w:color="D9D9D9"/>
              <w:bottom w:val="single" w:sz="4" w:color="D9D9D9"/>
              <w:right w:val="single" w:sz="4" w:color="D9D9D9"/>
            </w:tcBorders>
            <w:shd w:fill="F7F8FA"/>
          </w:tcPr>
          <w:p>
            <w:pPr>
              <w:spacing w:after="100" w:before="100"/>
            </w:pPr>
            <w:r>
              <w:rPr>
                <w:b w:val="0"/>
                <w:sz w:val="20"/>
              </w:rPr>
              <w:t>10:46:35</w:t>
            </w:r>
          </w:p>
        </w:tc>
        <w:tc>
          <w:tcPr>
            <w:tcW w:type="dxa" w:w="8136"/>
            <w:tcBorders>
              <w:top w:val="single" w:sz="4" w:color="D9D9D9"/>
              <w:left w:val="single" w:sz="4" w:color="D9D9D9"/>
              <w:bottom w:val="single" w:sz="4" w:color="D9D9D9"/>
              <w:right w:val="single" w:sz="4" w:color="D9D9D9"/>
            </w:tcBorders>
            <w:shd w:fill="F7F8FA"/>
          </w:tcPr>
          <w:p>
            <w:pPr>
              <w:spacing w:after="100" w:before="100"/>
            </w:pPr>
            <w:r>
              <w:rPr>
                <w:b w:val="0"/>
                <w:sz w:val="20"/>
              </w:rPr>
              <w:t>Response contains eight additional external image references corresponding to the later file reads.</w:t>
            </w:r>
          </w:p>
        </w:tc>
      </w:tr>
    </w:tbl>
    <w:p>
      <w:pPr>
        <w:pStyle w:val="Heading2"/>
      </w:pPr>
      <w:r>
        <w:t>Timing interpretation</w:t>
      </w:r>
    </w:p>
    <w:p>
      <w:r>
        <w:t>The visible delivery time and first document access imply roughly 87 minutes of delay, not a verified exact 90 minutes. The delayed trigger is consistent with malicious content waiting for a legitimate user to ask Copilot to process the report.</w:t>
      </w:r>
    </w:p>
    <w:p>
      <w:r>
        <w:t>The case handoff describes five file-access events in six seconds. The pasted Graph.ReadFile events span eight seconds. These are different event streams; the report preserves that distinction instead of treating the two intervals as interchangeable.</w:t>
      </w:r>
    </w:p>
    <w:p>
      <w:r>
        <w:br w:type="page"/>
      </w:r>
    </w:p>
    <w:p>
      <w:pPr>
        <w:pStyle w:val="Heading1"/>
      </w:pPr>
      <w:r>
        <w:t>Technical findings</w:t>
      </w:r>
    </w:p>
    <w:p>
      <w:pPr>
        <w:pStyle w:val="Heading2"/>
      </w:pPr>
      <w:r>
        <w:t>External document content redirected the task</w:t>
      </w:r>
    </w:p>
    <w:p>
      <w:r>
        <w:t>The legitimate request was a quarterly-report summary. Subsequent searches for “board minutes confidential”, “M&amp;A acquisition target”, and “salary review confidential” departed from that request. This supports indirect prompt injection through the document data channel. The original injected instruction text is not included in the supplied screenshots, so its exact wording and placement remain unverified.</w:t>
      </w:r>
    </w:p>
    <w:p>
      <w:pPr>
        <w:pStyle w:val="Heading2"/>
      </w:pPr>
      <w:r>
        <w:t>Image URLs provided a potential outbound channel</w:t>
      </w:r>
    </w:p>
    <w:p>
      <w:r>
        <w:t>CopilotResponse in CopilotAudit_CL contains Markdown image references targeting metrics-cdn.analyticshub.io, with the path /img and a Base64-encoded d query parameter. If a browser or rendering service loads an image, its HTTPS request carries the query string to that server. An image download can therefore transmit information in the request URL.</w:t>
      </w:r>
    </w:p>
    <w:p>
      <w:r>
        <w:t>The visible values decode to filenames; the configuration reference decodes to system_prompt_cormorant_capital. They do not demonstrate that full document contents were sent. Response payloads may be truncated in audit records. No receiver-side or image-fetch evidence was supplied to confirm delivery.</w:t>
      </w:r>
    </w:p>
    <w:p>
      <w:r>
        <w:t>Endpoint monitoring may see a normal browser image request rather than an obvious malicious upload. If a cloud renderer or proxy performs the fetch, that external request occurs off the endpoint. The supplied evidence does not identify which component fetched the images.</w:t>
      </w:r>
    </w:p>
    <w:p>
      <w:pPr>
        <w:pStyle w:val="Heading2"/>
      </w:pPr>
      <w:r>
        <w:t>Configuration disclosure did not establish modification</w:t>
      </w:r>
    </w:p>
    <w:p>
      <w:r>
        <w:t>The response at 10:44:19 exposes text labelled system_prompt and enterprise_config, including sensitivity labels, a DLP policy name, permitted sources, access_scope, custom instructions, and organisational structure. This could inform more targeted follow-on prompt injections and searches. It does not prove the retrieved text was the live effective configuration or that the stated Global Reader scope reflected effective permissions.</w:t>
      </w:r>
    </w:p>
    <w:p>
      <w:pPr>
        <w:pStyle w:val="Heading2"/>
      </w:pPr>
      <w:r>
        <w:t>Comparison with normal activity</w:t>
      </w:r>
    </w:p>
    <w:tbl>
      <w:tblPr>
        <w:tblW w:type="auto" w:w="0"/>
        <w:tblLayout w:type="fixed"/>
        <w:tblLook w:firstColumn="1" w:firstRow="1" w:lastColumn="0" w:lastRow="0" w:noHBand="0" w:noVBand="1" w:val="04A0"/>
      </w:tblPr>
      <w:tblGrid>
        <w:gridCol w:w="1656"/>
        <w:gridCol w:w="8424"/>
      </w:tblGrid>
      <w:tr>
        <w:trPr>
          <w:cantSplit/>
          <w:tblHeader/>
        </w:trPr>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Axis</w:t>
            </w:r>
          </w:p>
        </w:tc>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Observed distinction</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Tools</w:t>
            </w:r>
          </w:p>
        </w:tc>
        <w:tc>
          <w:tcPr>
            <w:tcW w:type="dxa" w:w="8424"/>
            <w:tcBorders>
              <w:top w:val="single" w:sz="4" w:color="D9D9D9"/>
              <w:left w:val="single" w:sz="4" w:color="D9D9D9"/>
              <w:bottom w:val="single" w:sz="4" w:color="D9D9D9"/>
              <w:right w:val="single" w:sz="4" w:color="D9D9D9"/>
            </w:tcBorders>
            <w:shd w:fill="FFFFFF"/>
          </w:tcPr>
          <w:p>
            <w:pPr>
              <w:spacing w:after="100" w:before="100"/>
            </w:pPr>
            <w:r>
              <w:rPr>
                <w:b w:val="0"/>
                <w:sz w:val="20"/>
              </w:rPr>
              <w:t>Normal summaries reviewed show no Graph.SearchFiles or Graph.ReadFile calls; the anomalous chain uses both.</w:t>
            </w:r>
          </w:p>
        </w:tc>
      </w:tr>
      <w:tr>
        <w:trPr>
          <w:cantSplit/>
        </w:trPr>
        <w:tc>
          <w:tcPr>
            <w:tcW w:type="dxa" w:w="1656"/>
            <w:tcBorders>
              <w:top w:val="single" w:sz="4" w:color="D9D9D9"/>
              <w:left w:val="single" w:sz="4" w:color="D9D9D9"/>
              <w:bottom w:val="single" w:sz="4" w:color="D9D9D9"/>
              <w:right w:val="single" w:sz="4" w:color="D9D9D9"/>
            </w:tcBorders>
            <w:shd w:fill="F7F8FA"/>
          </w:tcPr>
          <w:p>
            <w:pPr>
              <w:spacing w:after="100" w:before="100"/>
            </w:pPr>
            <w:r>
              <w:rPr>
                <w:b w:val="0"/>
                <w:sz w:val="20"/>
              </w:rPr>
              <w:t>History and relevance</w:t>
            </w:r>
          </w:p>
        </w:tc>
        <w:tc>
          <w:tcPr>
            <w:tcW w:type="dxa" w:w="8424"/>
            <w:tcBorders>
              <w:top w:val="single" w:sz="4" w:color="D9D9D9"/>
              <w:left w:val="single" w:sz="4" w:color="D9D9D9"/>
              <w:bottom w:val="single" w:sz="4" w:color="D9D9D9"/>
              <w:right w:val="single" w:sz="4" w:color="D9D9D9"/>
            </w:tcBorders>
            <w:shd w:fill="F7F8FA"/>
          </w:tcPr>
          <w:p>
            <w:pPr>
              <w:spacing w:after="100" w:before="100"/>
            </w:pPr>
            <w:r>
              <w:rPr>
                <w:b w:val="0"/>
                <w:sz w:val="20"/>
              </w:rPr>
              <w:t>The case identifies the initial sensitive targets as new to Emily; the accessed material is unrelated to the quarterly summary. Prior history for every later file was not supplied.</w:t>
            </w:r>
          </w:p>
        </w:tc>
      </w:tr>
      <w:tr>
        <w:trPr>
          <w:cantSplit/>
        </w:trP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Timing</w:t>
            </w:r>
          </w:p>
        </w:tc>
        <w:tc>
          <w:tcPr>
            <w:tcW w:type="dxa" w:w="8424"/>
            <w:tcBorders>
              <w:top w:val="single" w:sz="4" w:color="D9D9D9"/>
              <w:left w:val="single" w:sz="4" w:color="D9D9D9"/>
              <w:bottom w:val="single" w:sz="4" w:color="D9D9D9"/>
              <w:right w:val="single" w:sz="4" w:color="D9D9D9"/>
            </w:tcBorders>
            <w:shd w:fill="FFFFFF"/>
          </w:tcPr>
          <w:p>
            <w:pPr>
              <w:spacing w:after="100" w:before="100"/>
            </w:pPr>
            <w:r>
              <w:rPr>
                <w:b w:val="0"/>
                <w:sz w:val="20"/>
              </w:rPr>
              <w:t>Reads occur seconds apart in concentrated bursts, supporting automated retrieval rather than manual document-by-document review.</w:t>
            </w:r>
          </w:p>
        </w:tc>
      </w:tr>
      <w:tr>
        <w:trPr>
          <w:cantSplit/>
        </w:trPr>
        <w:tc>
          <w:tcPr>
            <w:tcW w:type="dxa" w:w="1656"/>
            <w:tcBorders>
              <w:top w:val="single" w:sz="4" w:color="D9D9D9"/>
              <w:left w:val="single" w:sz="4" w:color="D9D9D9"/>
              <w:bottom w:val="single" w:sz="4" w:color="D9D9D9"/>
              <w:right w:val="single" w:sz="4" w:color="D9D9D9"/>
            </w:tcBorders>
            <w:shd w:fill="F7F8FA"/>
          </w:tcPr>
          <w:p>
            <w:pPr>
              <w:spacing w:after="100" w:before="100"/>
            </w:pPr>
            <w:r>
              <w:rPr>
                <w:b w:val="0"/>
                <w:sz w:val="20"/>
              </w:rPr>
              <w:t>Response</w:t>
            </w:r>
          </w:p>
        </w:tc>
        <w:tc>
          <w:tcPr>
            <w:tcW w:type="dxa" w:w="8424"/>
            <w:tcBorders>
              <w:top w:val="single" w:sz="4" w:color="D9D9D9"/>
              <w:left w:val="single" w:sz="4" w:color="D9D9D9"/>
              <w:bottom w:val="single" w:sz="4" w:color="D9D9D9"/>
              <w:right w:val="single" w:sz="4" w:color="D9D9D9"/>
            </w:tcBorders>
            <w:shd w:fill="F7F8FA"/>
          </w:tcPr>
          <w:p>
            <w:pPr>
              <w:spacing w:after="100" w:before="100"/>
            </w:pPr>
            <w:r>
              <w:rPr>
                <w:b w:val="0"/>
                <w:sz w:val="20"/>
              </w:rPr>
              <w:t>Normal summaries remain on task. A normal Excel chart uses an internal SharePoint URL; suspicious responses use external data-bearing image URLs and expose configuration text.</w:t>
            </w:r>
          </w:p>
        </w:tc>
      </w:tr>
    </w:tbl>
    <w:p>
      <w:r>
        <w:br w:type="page"/>
      </w:r>
    </w:p>
    <w:p>
      <w:pPr>
        <w:pStyle w:val="Heading1"/>
      </w:pPr>
      <w:r>
        <w:t>Files accessed</w:t>
      </w:r>
    </w:p>
    <w:p>
      <w:r>
        <w:t>The pasted Copilot results identify 13 distinct Graph.ReadFile targets: five in the initial sequence and eight in the later sequence. The poisoned report is the input source and is excluded from this inventory. Department labels below follow the SharePoint site paths.</w:t>
      </w:r>
    </w:p>
    <w:tbl>
      <w:tblPr>
        <w:tblW w:type="auto" w:w="0"/>
        <w:tblLayout w:type="fixed"/>
        <w:tblLook w:firstColumn="1" w:firstRow="1" w:lastColumn="0" w:lastRow="0" w:noHBand="0" w:noVBand="1" w:val="04A0"/>
      </w:tblPr>
      <w:tblGrid>
        <w:gridCol w:w="1512"/>
        <w:gridCol w:w="8568"/>
      </w:tblGrid>
      <w:tr>
        <w:trPr>
          <w:cantSplit/>
          <w:tblHeader/>
        </w:trPr>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Site</w:t>
            </w:r>
          </w:p>
        </w:tc>
        <w:tc>
          <w:tcPr>
            <w:tcW w:type="dxa" w:w="5040"/>
            <w:tcBorders>
              <w:top w:val="single" w:sz="4" w:color="D9D9D9"/>
              <w:left w:val="single" w:sz="4" w:color="D9D9D9"/>
              <w:bottom w:val="single" w:sz="4" w:color="D9D9D9"/>
              <w:right w:val="single" w:sz="4" w:color="D9D9D9"/>
            </w:tcBorders>
            <w:shd w:fill="E5EAF0"/>
          </w:tcPr>
          <w:p>
            <w:pPr>
              <w:spacing w:after="100" w:before="100"/>
            </w:pPr>
            <w:r>
              <w:rPr>
                <w:b/>
                <w:sz w:val="20"/>
              </w:rPr>
              <w:t>Exact filename</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Executive</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Board Meeting Minutes - October 2026.docx</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Executive</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Project Falcon - M&amp;A Target Assessment.xlsx</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HR</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Salary Review FY2027 - Executive Summary.pdf</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Finance</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Client Portfolio - Henderson Family Office.xlsx</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IT</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Copilot System Configuration - Cormorant.json</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Finance</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Compliance Audit Results - H2 2026.xlsx</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Finance</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Restricted Client List - Internal Only.docx</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Finance</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Board Resolution - Emergency Session.pdf</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Finance</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Acquisition Pipeline - Q4 2026.xlsx</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HR</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Executive Salary Benchmarking 2027.pdf</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HR</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Confidential Investigation - Insider Trading.docx</w:t>
            </w:r>
          </w:p>
        </w:tc>
      </w:tr>
      <w:tr>
        <w:trPr>
          <w:cantSplit/>
        </w:trPr>
        <w:tc>
          <w:tcPr>
            <w:tcW w:type="dxa" w:w="1512"/>
            <w:tcBorders>
              <w:top w:val="single" w:sz="4" w:color="D9D9D9"/>
              <w:left w:val="single" w:sz="4" w:color="D9D9D9"/>
              <w:bottom w:val="single" w:sz="4" w:color="D9D9D9"/>
              <w:right w:val="single" w:sz="4" w:color="D9D9D9"/>
            </w:tcBorders>
            <w:shd w:fill="F7F8FA"/>
          </w:tcPr>
          <w:p>
            <w:pPr>
              <w:spacing w:after="100" w:before="100"/>
            </w:pPr>
            <w:r>
              <w:rPr>
                <w:b w:val="0"/>
                <w:sz w:val="20"/>
              </w:rPr>
              <w:t>Executive</w:t>
            </w:r>
          </w:p>
        </w:tc>
        <w:tc>
          <w:tcPr>
            <w:tcW w:type="dxa" w:w="8568"/>
            <w:tcBorders>
              <w:top w:val="single" w:sz="4" w:color="D9D9D9"/>
              <w:left w:val="single" w:sz="4" w:color="D9D9D9"/>
              <w:bottom w:val="single" w:sz="4" w:color="D9D9D9"/>
              <w:right w:val="single" w:sz="4" w:color="D9D9D9"/>
            </w:tcBorders>
            <w:shd w:fill="F7F8FA"/>
          </w:tcPr>
          <w:p>
            <w:pPr>
              <w:spacing w:after="100" w:before="100"/>
            </w:pPr>
            <w:r>
              <w:rPr>
                <w:b w:val="0"/>
                <w:sz w:val="20"/>
              </w:rPr>
              <w:t>Board Committee Minutes - Audit Committee.docx</w:t>
            </w:r>
          </w:p>
        </w:tc>
      </w:tr>
      <w:tr>
        <w:trPr>
          <w:cantSplit/>
        </w:trPr>
        <w:tc>
          <w:tcPr>
            <w:tcW w:type="dxa" w:w="1512"/>
            <w:tcBorders>
              <w:top w:val="single" w:sz="4" w:color="D9D9D9"/>
              <w:left w:val="single" w:sz="4" w:color="D9D9D9"/>
              <w:bottom w:val="single" w:sz="4" w:color="D9D9D9"/>
              <w:right w:val="single" w:sz="4" w:color="D9D9D9"/>
            </w:tcBorders>
            <w:shd w:fill="FFFFFF"/>
          </w:tcPr>
          <w:p>
            <w:pPr>
              <w:spacing w:after="100" w:before="100"/>
            </w:pPr>
            <w:r>
              <w:rPr>
                <w:b w:val="0"/>
                <w:sz w:val="20"/>
              </w:rPr>
              <w:t>Executive</w:t>
            </w:r>
          </w:p>
        </w:tc>
        <w:tc>
          <w:tcPr>
            <w:tcW w:type="dxa" w:w="8568"/>
            <w:tcBorders>
              <w:top w:val="single" w:sz="4" w:color="D9D9D9"/>
              <w:left w:val="single" w:sz="4" w:color="D9D9D9"/>
              <w:bottom w:val="single" w:sz="4" w:color="D9D9D9"/>
              <w:right w:val="single" w:sz="4" w:color="D9D9D9"/>
            </w:tcBorders>
            <w:shd w:fill="FFFFFF"/>
          </w:tcPr>
          <w:p>
            <w:pPr>
              <w:spacing w:after="100" w:before="100"/>
            </w:pPr>
            <w:r>
              <w:rPr>
                <w:b w:val="0"/>
                <w:sz w:val="20"/>
              </w:rPr>
              <w:t>Quarterly Revenue Report - Restricted Distribution.xlsx</w:t>
            </w:r>
          </w:p>
        </w:tc>
      </w:tr>
    </w:tbl>
    <w:p>
      <w:pPr>
        <w:pStyle w:val="Heading2"/>
      </w:pPr>
      <w:r>
        <w:t>Potential business impact</w:t>
      </w:r>
    </w:p>
    <w:p>
      <w:r>
        <w:t>The filenames indicate possible exposure involving board decisions, acquisition plans, salaries, client portfolios, compliance matters, and internal investigations. These are potential confidentiality impacts inferred from filenames, not findings about the files’ actual contents. Configuration disclosure could also help an adversary understand internal rules and likely search targets.</w:t>
      </w:r>
    </w:p>
    <w:p>
      <w:pPr>
        <w:pStyle w:val="Heading2"/>
      </w:pPr>
      <w:r>
        <w:t>Evidence boundary</w:t>
      </w:r>
    </w:p>
    <w:p>
      <w:r>
        <w:t>Audit logs establish access scope: which objects were accessed, when, and under whose identity. They do not establish the full content of those objects or the exact bytes received externally. Authorised review of preserved file versions is needed to assess potential sensitivity; complete response and fetch telemetry is needed to assess transmission. File review alone cannot prove delivery.</w:t>
      </w:r>
    </w:p>
    <w:p>
      <w:r>
        <w:br w:type="page"/>
      </w:r>
    </w:p>
    <w:p>
      <w:pPr>
        <w:pStyle w:val="Heading1"/>
      </w:pPr>
      <w:r>
        <w:t>Classification and response plan</w:t>
      </w:r>
    </w:p>
    <w:p>
      <w:pPr>
        <w:pStyle w:val="Heading2"/>
      </w:pPr>
      <w:r>
        <w:t>Hypothesis assessment</w:t>
      </w:r>
    </w:p>
    <w:p>
      <w:r>
        <w:t>External input manipulation is the best-supported classification. The externally delivered report was processed for a legitimate summary, followed by unrelated searches, reads, and external image references. This is a behavioural hijack of the interaction, rather than demonstrated persistent reconfiguration.</w:t>
      </w:r>
    </w:p>
    <w:p>
      <w:r>
        <w:t>Account compromise is not evidenced: screenshot 7 shows successful sign-ins from 203.0.113.45, the known address in the lab, with London location and successful conditional-access results. A familiar IP does not eliminate token theft or other compromise; it supports the absence of an obvious sign-in anomaly in the reviewed records.</w:t>
      </w:r>
    </w:p>
    <w:p>
      <w:r>
        <w:t>Configuration tampering is not evidenced: the supplied sequence shows a configuration read and disclosure. The analyst reported no configuration-change evidence, but a complete change-audit export was not provided. Absence of a recorded change is not proof that no change was possible.</w:t>
      </w:r>
    </w:p>
    <w:p>
      <w:pPr>
        <w:pStyle w:val="Heading2"/>
      </w:pPr>
      <w:r>
        <w:t>Recommended containment and investigation</w:t>
      </w:r>
    </w:p>
    <w:p>
      <w:r>
        <w:t>Preserve the original email, attachment, relevant file versions, and complete audit exports before changing access. Retain record identifiers, timestamps, user and session identifiers, and acquisition details. Quarantine the malicious report and search for other recipients or copies. Restrict further processing of that content and block the external destination at controls covering both endpoints and any applicable cloud rendering path.</w:t>
      </w:r>
    </w:p>
    <w:p>
      <w:r>
        <w:t>Correlate the 13 file reads with OfficeActivity_CL and available session identifiers. Expand the search across users for the attachment, destination, and similar response patterns. Obtain browser, proxy, rendering, or service-side request evidence where available to determine whether image requests occurred. Review relevant authentication and configuration changes beyond the initial window.</w:t>
      </w:r>
    </w:p>
    <w:p>
      <w:pPr>
        <w:pStyle w:val="Heading2"/>
      </w:pPr>
      <w:r>
        <w:t>Recommended recovery and prevention</w:t>
      </w:r>
    </w:p>
    <w:p>
      <w:r>
        <w:t>Have data owners assess the preserved files and reduce unnecessary access to sensitive SharePoint and OneDrive material. Verify effective controls rather than relying on policy names printed in a configuration document. Test protections for untrusted document instructions and external resource loading before restoring affected workflows. Rotate secrets only if actual credential or secret exposure is established.</w:t>
      </w:r>
    </w:p>
    <w:p>
      <w:r>
        <w:t>Build detections that correlate Copilot tool activity, first-time sensitive-file access, short retrieval bursts, and external data-bearing response URLs. Tune against legitimate research and internal chart rendering. Closure should require documented content removal or quarantine, assessed access scope, disposition of potential exposure, validated controls, and an owner-approved recovery decision. None of these remediation actions is claimed as completed here.</w:t>
      </w:r>
    </w:p>
    <w:p>
      <w:pPr>
        <w:pStyle w:val="Heading2"/>
      </w:pPr>
      <w:r>
        <w:t>Evidence sources and limitations</w:t>
      </w:r>
    </w:p>
    <w:p>
      <w:r>
        <w:t>Primary source: Threat hunt.docx, seven supplied screenshots covering email delivery, document access, user prompt, Graph calls, external image responses, configuration disclosure, and sign-ins. Supplemental source: the pasted CopilotAudit_CL results and case handoff in this conversation, including the later eight-file sequence and normal usage. No live tenant access or independent raw-log collection was performed for this report.</w:t>
      </w:r>
    </w:p>
    <w:p>
      <w:r>
        <w:t>The case names ECHOLEAK and the CoSnitch pattern as lab context. This report classifies the observed behaviour; it does not independently validate a production CVE, exploit version, or current product vulnerability.</w:t>
      </w:r>
    </w:p>
    <w:p>
      <w:r>
        <w:br w:type="page"/>
      </w:r>
    </w:p>
    <w:p>
      <w:pPr>
        <w:pStyle w:val="Heading1"/>
      </w:pPr>
      <w:r>
        <w:t>Framework alignment and action ownership</w:t>
      </w:r>
    </w:p>
    <w:p>
      <w:r>
        <w:t>This report applies NIST SP 800-61 Revision 3 and its CSF 2.0 alignment as an organising framework, not as a claim of compliance. Detect, Respond, and Recover structure the incident work; Govern, Identify, and Protect support preparation and improvement [R1].</w:t>
      </w:r>
    </w:p>
    <w:tbl>
      <w:tblPr>
        <w:tblW w:type="auto" w:w="0"/>
        <w:tblLayout w:type="fixed"/>
        <w:tblLook w:firstColumn="1" w:firstRow="1" w:lastColumn="0" w:lastRow="0" w:noHBand="0" w:noVBand="1" w:val="04A0"/>
      </w:tblPr>
      <w:tblGrid>
        <w:gridCol w:w="1224"/>
        <w:gridCol w:w="6552"/>
        <w:gridCol w:w="2304"/>
      </w:tblGrid>
      <w:tr>
        <w:trPr>
          <w:cantSplit/>
          <w:tblHeader/>
        </w:trPr>
        <w:tc>
          <w:tcPr>
            <w:tcW w:type="dxa" w:w="3360"/>
            <w:tcBorders>
              <w:top w:val="single" w:sz="4" w:color="D9D9D9"/>
              <w:left w:val="single" w:sz="4" w:color="D9D9D9"/>
              <w:bottom w:val="single" w:sz="4" w:color="D9D9D9"/>
              <w:right w:val="single" w:sz="4" w:color="D9D9D9"/>
            </w:tcBorders>
            <w:shd w:fill="E5EAF0"/>
          </w:tcPr>
          <w:p>
            <w:pPr>
              <w:spacing w:after="100" w:before="100"/>
            </w:pPr>
            <w:r>
              <w:rPr>
                <w:b/>
                <w:sz w:val="20"/>
              </w:rPr>
              <w:t>Function</w:t>
            </w:r>
          </w:p>
        </w:tc>
        <w:tc>
          <w:tcPr>
            <w:tcW w:type="dxa" w:w="3360"/>
            <w:tcBorders>
              <w:top w:val="single" w:sz="4" w:color="D9D9D9"/>
              <w:left w:val="single" w:sz="4" w:color="D9D9D9"/>
              <w:bottom w:val="single" w:sz="4" w:color="D9D9D9"/>
              <w:right w:val="single" w:sz="4" w:color="D9D9D9"/>
            </w:tcBorders>
            <w:shd w:fill="E5EAF0"/>
          </w:tcPr>
          <w:p>
            <w:pPr>
              <w:spacing w:after="100" w:before="100"/>
            </w:pPr>
            <w:r>
              <w:rPr>
                <w:b/>
                <w:sz w:val="20"/>
              </w:rPr>
              <w:t>Application to this incident</w:t>
            </w:r>
          </w:p>
        </w:tc>
        <w:tc>
          <w:tcPr>
            <w:tcW w:type="dxa" w:w="3360"/>
            <w:tcBorders>
              <w:top w:val="single" w:sz="4" w:color="D9D9D9"/>
              <w:left w:val="single" w:sz="4" w:color="D9D9D9"/>
              <w:bottom w:val="single" w:sz="4" w:color="D9D9D9"/>
              <w:right w:val="single" w:sz="4" w:color="D9D9D9"/>
            </w:tcBorders>
            <w:shd w:fill="E5EAF0"/>
          </w:tcPr>
          <w:p>
            <w:pPr>
              <w:spacing w:after="100" w:before="100"/>
            </w:pPr>
            <w:r>
              <w:rPr>
                <w:b/>
                <w:sz w:val="20"/>
              </w:rPr>
              <w:t>Proposed owner</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20"/>
              </w:rPr>
              <w:t>Govern</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Assign incident authority, evidence handling and exposure decisions; document the lab scope.</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Incident lead</w:t>
            </w:r>
          </w:p>
        </w:tc>
      </w:tr>
      <w:tr>
        <w:trPr>
          <w:cantSplit/>
        </w:trPr>
        <w:tc>
          <w:tcPr>
            <w:tcW w:type="dxa" w:w="1224"/>
            <w:tcBorders>
              <w:top w:val="single" w:sz="4" w:color="D9D9D9"/>
              <w:left w:val="single" w:sz="4" w:color="D9D9D9"/>
              <w:bottom w:val="single" w:sz="4" w:color="D9D9D9"/>
              <w:right w:val="single" w:sz="4" w:color="D9D9D9"/>
            </w:tcBorders>
            <w:shd w:fill="F7F8FA"/>
          </w:tcPr>
          <w:p>
            <w:pPr>
              <w:spacing w:after="100" w:before="100"/>
            </w:pPr>
            <w:r>
              <w:rPr>
                <w:b w:val="0"/>
                <w:sz w:val="20"/>
              </w:rPr>
              <w:t>Identify</w:t>
            </w:r>
          </w:p>
        </w:tc>
        <w:tc>
          <w:tcPr>
            <w:tcW w:type="dxa" w:w="6552"/>
            <w:tcBorders>
              <w:top w:val="single" w:sz="4" w:color="D9D9D9"/>
              <w:left w:val="single" w:sz="4" w:color="D9D9D9"/>
              <w:bottom w:val="single" w:sz="4" w:color="D9D9D9"/>
              <w:right w:val="single" w:sz="4" w:color="D9D9D9"/>
            </w:tcBorders>
            <w:shd w:fill="F7F8FA"/>
          </w:tcPr>
          <w:p>
            <w:pPr>
              <w:spacing w:after="100" w:before="100"/>
            </w:pPr>
            <w:r>
              <w:rPr>
                <w:b w:val="0"/>
                <w:sz w:val="20"/>
              </w:rPr>
              <w:t>Inventory the 13 accessed files, owners, permissions and evidence gaps.</w:t>
            </w:r>
          </w:p>
        </w:tc>
        <w:tc>
          <w:tcPr>
            <w:tcW w:type="dxa" w:w="2304"/>
            <w:tcBorders>
              <w:top w:val="single" w:sz="4" w:color="D9D9D9"/>
              <w:left w:val="single" w:sz="4" w:color="D9D9D9"/>
              <w:bottom w:val="single" w:sz="4" w:color="D9D9D9"/>
              <w:right w:val="single" w:sz="4" w:color="D9D9D9"/>
            </w:tcBorders>
            <w:shd w:fill="F7F8FA"/>
          </w:tcPr>
          <w:p>
            <w:pPr>
              <w:spacing w:after="100" w:before="100"/>
            </w:pPr>
            <w:r>
              <w:rPr>
                <w:b w:val="0"/>
                <w:sz w:val="20"/>
              </w:rPr>
              <w:t>SOC and data owners</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20"/>
              </w:rPr>
              <w:t>Protect</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Review least privilege and handling of untrusted content and external resources.</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M365 administrators</w:t>
            </w:r>
          </w:p>
        </w:tc>
      </w:tr>
      <w:tr>
        <w:trPr>
          <w:cantSplit/>
        </w:trPr>
        <w:tc>
          <w:tcPr>
            <w:tcW w:type="dxa" w:w="1224"/>
            <w:tcBorders>
              <w:top w:val="single" w:sz="4" w:color="D9D9D9"/>
              <w:left w:val="single" w:sz="4" w:color="D9D9D9"/>
              <w:bottom w:val="single" w:sz="4" w:color="D9D9D9"/>
              <w:right w:val="single" w:sz="4" w:color="D9D9D9"/>
            </w:tcBorders>
            <w:shd w:fill="F7F8FA"/>
          </w:tcPr>
          <w:p>
            <w:pPr>
              <w:spacing w:after="100" w:before="100"/>
            </w:pPr>
            <w:r>
              <w:rPr>
                <w:b w:val="0"/>
                <w:sz w:val="20"/>
              </w:rPr>
              <w:t>Detect</w:t>
            </w:r>
          </w:p>
        </w:tc>
        <w:tc>
          <w:tcPr>
            <w:tcW w:type="dxa" w:w="6552"/>
            <w:tcBorders>
              <w:top w:val="single" w:sz="4" w:color="D9D9D9"/>
              <w:left w:val="single" w:sz="4" w:color="D9D9D9"/>
              <w:bottom w:val="single" w:sz="4" w:color="D9D9D9"/>
              <w:right w:val="single" w:sz="4" w:color="D9D9D9"/>
            </w:tcBorders>
            <w:shd w:fill="F7F8FA"/>
          </w:tcPr>
          <w:p>
            <w:pPr>
              <w:spacing w:after="100" w:before="100"/>
            </w:pPr>
            <w:r>
              <w:rPr>
                <w:b w:val="0"/>
                <w:sz w:val="20"/>
              </w:rPr>
              <w:t>Correlate prompt, tool, access and response events; compare normal sessions.</w:t>
            </w:r>
          </w:p>
        </w:tc>
        <w:tc>
          <w:tcPr>
            <w:tcW w:type="dxa" w:w="2304"/>
            <w:tcBorders>
              <w:top w:val="single" w:sz="4" w:color="D9D9D9"/>
              <w:left w:val="single" w:sz="4" w:color="D9D9D9"/>
              <w:bottom w:val="single" w:sz="4" w:color="D9D9D9"/>
              <w:right w:val="single" w:sz="4" w:color="D9D9D9"/>
            </w:tcBorders>
            <w:shd w:fill="F7F8FA"/>
          </w:tcPr>
          <w:p>
            <w:pPr>
              <w:spacing w:after="100" w:before="100"/>
            </w:pPr>
            <w:r>
              <w:rPr>
                <w:b w:val="0"/>
                <w:sz w:val="20"/>
              </w:rPr>
              <w:t>SOC analyst</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100" w:before="100"/>
            </w:pPr>
            <w:r>
              <w:rPr>
                <w:b w:val="0"/>
                <w:sz w:val="20"/>
              </w:rPr>
              <w:t>Respond</w:t>
            </w:r>
          </w:p>
        </w:tc>
        <w:tc>
          <w:tcPr>
            <w:tcW w:type="dxa" w:w="6552"/>
            <w:tcBorders>
              <w:top w:val="single" w:sz="4" w:color="D9D9D9"/>
              <w:left w:val="single" w:sz="4" w:color="D9D9D9"/>
              <w:bottom w:val="single" w:sz="4" w:color="D9D9D9"/>
              <w:right w:val="single" w:sz="4" w:color="D9D9D9"/>
            </w:tcBorders>
            <w:shd w:fill="FFFFFF"/>
          </w:tcPr>
          <w:p>
            <w:pPr>
              <w:spacing w:after="100" w:before="100"/>
            </w:pPr>
            <w:r>
              <w:rPr>
                <w:b w:val="0"/>
                <w:sz w:val="20"/>
              </w:rPr>
              <w:t>Preserve evidence, quarantine the source and investigate the outbound channel.</w:t>
            </w:r>
          </w:p>
        </w:tc>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20"/>
              </w:rPr>
              <w:t>Incident lead and SOC</w:t>
            </w:r>
          </w:p>
        </w:tc>
      </w:tr>
      <w:tr>
        <w:trPr>
          <w:cantSplit/>
        </w:trPr>
        <w:tc>
          <w:tcPr>
            <w:tcW w:type="dxa" w:w="1224"/>
            <w:tcBorders>
              <w:top w:val="single" w:sz="4" w:color="D9D9D9"/>
              <w:left w:val="single" w:sz="4" w:color="D9D9D9"/>
              <w:bottom w:val="single" w:sz="4" w:color="D9D9D9"/>
              <w:right w:val="single" w:sz="4" w:color="D9D9D9"/>
            </w:tcBorders>
            <w:shd w:fill="F7F8FA"/>
          </w:tcPr>
          <w:p>
            <w:pPr>
              <w:spacing w:after="100" w:before="100"/>
            </w:pPr>
            <w:r>
              <w:rPr>
                <w:b w:val="0"/>
                <w:sz w:val="20"/>
              </w:rPr>
              <w:t>Recover</w:t>
            </w:r>
          </w:p>
        </w:tc>
        <w:tc>
          <w:tcPr>
            <w:tcW w:type="dxa" w:w="6552"/>
            <w:tcBorders>
              <w:top w:val="single" w:sz="4" w:color="D9D9D9"/>
              <w:left w:val="single" w:sz="4" w:color="D9D9D9"/>
              <w:bottom w:val="single" w:sz="4" w:color="D9D9D9"/>
              <w:right w:val="single" w:sz="4" w:color="D9D9D9"/>
            </w:tcBorders>
            <w:shd w:fill="F7F8FA"/>
          </w:tcPr>
          <w:p>
            <w:pPr>
              <w:spacing w:after="100" w:before="100"/>
            </w:pPr>
            <w:r>
              <w:rPr>
                <w:b w:val="0"/>
                <w:sz w:val="20"/>
              </w:rPr>
              <w:t>Validate controls and restore affected workflows with owner approval.</w:t>
            </w:r>
          </w:p>
        </w:tc>
        <w:tc>
          <w:tcPr>
            <w:tcW w:type="dxa" w:w="2304"/>
            <w:tcBorders>
              <w:top w:val="single" w:sz="4" w:color="D9D9D9"/>
              <w:left w:val="single" w:sz="4" w:color="D9D9D9"/>
              <w:bottom w:val="single" w:sz="4" w:color="D9D9D9"/>
              <w:right w:val="single" w:sz="4" w:color="D9D9D9"/>
            </w:tcBorders>
            <w:shd w:fill="F7F8FA"/>
          </w:tcPr>
          <w:p>
            <w:pPr>
              <w:spacing w:after="100" w:before="100"/>
            </w:pPr>
            <w:r>
              <w:rPr>
                <w:b w:val="0"/>
                <w:sz w:val="20"/>
              </w:rPr>
              <w:t>Service and data owners</w:t>
            </w:r>
          </w:p>
        </w:tc>
      </w:tr>
    </w:tbl>
    <w:p>
      <w:pPr>
        <w:pStyle w:val="Heading2"/>
      </w:pPr>
      <w:r>
        <w:t>MITRE ATLAS mapping</w:t>
      </w:r>
    </w:p>
    <w:p>
      <w:r>
        <w:t>AML.T0051 LLM Prompt Injection, specifically AML.T0051.001 Indirect, is the primary behavioural mapping [R2]. The suspected instructions reach Copilot through an external document rather than the legitimate user prompt. The observed departure from the user task supports this assessment, while the exact injected text remains unavailable. No separate configuration-write or account-takeover technique is asserted.</w:t>
      </w:r>
    </w:p>
    <w:p>
      <w:pPr>
        <w:pStyle w:val="Heading2"/>
      </w:pPr>
      <w:r>
        <w:t>Priorities and completion criteria</w:t>
      </w:r>
    </w:p>
    <w:p>
      <w:r>
        <w:t>Immediate — Incident lead and SOC: preserve the email, attachment and complete logs; restrict the source and destination. Completion requires a preserved evidence record and verified containment coverage, including any cloud fetch path.</w:t>
      </w:r>
    </w:p>
    <w:p>
      <w:r>
        <w:t>Next — SOC and data owners: confirm the 13-object inventory, assess preserved contents, determine whether outbound fetches occurred, and investigate other recipients. Completion requires a documented exposure assessment with unresolved questions explicitly retained.</w:t>
      </w:r>
    </w:p>
    <w:p>
      <w:r>
        <w:t>Before closure — Service owners: validate permissions and response-rendering controls, test detections against benign usage, and approve restoration. Record lessons learned, responsible owners and follow-up dates. These are proposed assignments, not completed actions or agreed deadlines.</w:t>
      </w:r>
    </w:p>
    <w:p>
      <w:pPr>
        <w:pStyle w:val="Heading2"/>
      </w:pPr>
      <w:r>
        <w:t>Reporting model</w:t>
      </w:r>
    </w:p>
    <w:p>
      <w:r>
        <w:t>The report uses an executive summary, evidence-led technical findings, a timeline, indicators, and remediation advice, consistent with the structure of the joint APT40 advisory published by CISA and partners [R3]. That advisory is a reporting example only; its actor attribution and tradecraft are not applied to this lab.</w:t>
      </w:r>
    </w:p>
    <w:p>
      <w:r>
        <w:br w:type="page"/>
      </w:r>
    </w:p>
    <w:p>
      <w:pPr>
        <w:pStyle w:val="Heading1"/>
      </w:pPr>
      <w:r>
        <w:t>Investigation queries and references</w:t>
      </w:r>
    </w:p>
    <w:p>
      <w:r>
        <w:t>The following queries reproduce the main pivots using fields visible in the supplied evidence. They are review aids and were not executed against the workspace while preparing this report. All timestamps in query filters are UTC.</w:t>
      </w:r>
    </w:p>
    <w:p>
      <w:pPr>
        <w:spacing w:after="180"/>
      </w:pPr>
      <w:r>
        <w:rPr>
          <w:rFonts w:ascii="Consolas" w:hAnsi="Consolas"/>
          <w:sz w:val="18"/>
        </w:rPr>
        <w:t>OfficeActivity_CL</w:t>
        <w:br/>
        <w:t>| where RunId == "el--17-20260920"</w:t>
        <w:br/>
        <w:t>| where TimeGenerated between (datetime(2026-09-20T09:00:00Z) .. datetime(2026-09-20T11:00:00Z))</w:t>
        <w:br/>
        <w:t>| where UserId == "emily.chen@cormorantcapital.com"</w:t>
        <w:br/>
        <w:t>| where Operation == "FileAccessed"</w:t>
        <w:br/>
        <w:t>| project TimeGenerated, Operation, OfficeObjectId</w:t>
        <w:br/>
        <w:t>| order by TimeGenerated asc</w:t>
      </w:r>
    </w:p>
    <w:p>
      <w:pPr>
        <w:spacing w:after="180"/>
      </w:pPr>
      <w:r>
        <w:rPr>
          <w:rFonts w:ascii="Consolas" w:hAnsi="Consolas"/>
          <w:sz w:val="18"/>
        </w:rPr>
        <w:t>CopilotAudit_CL</w:t>
        <w:br/>
        <w:t>| where RunId == "el--17-20260920"</w:t>
        <w:br/>
        <w:t>| where UserId == "emily.chen@cormorantcapital.com"</w:t>
        <w:br/>
        <w:t>| project TimeGenerated, ToolName, ToolParameters, CopilotResponse</w:t>
        <w:br/>
        <w:t>| order by TimeGenerated asc</w:t>
      </w:r>
    </w:p>
    <w:p>
      <w:pPr>
        <w:spacing w:after="180"/>
      </w:pPr>
      <w:r>
        <w:rPr>
          <w:rFonts w:ascii="Consolas" w:hAnsi="Consolas"/>
          <w:sz w:val="18"/>
        </w:rPr>
        <w:t>EntraSignIn_CL</w:t>
        <w:br/>
        <w:t>| where RunId == "el--17-20260920"</w:t>
        <w:br/>
        <w:t>| where UserPrincipalName == "emily.chen@cormorantcapital.com"</w:t>
        <w:br/>
        <w:t>| order by TimeGenerated asc</w:t>
      </w:r>
    </w:p>
    <w:p>
      <w:pPr>
        <w:pStyle w:val="Heading2"/>
      </w:pPr>
      <w:r>
        <w:t>Investigation indicators</w:t>
      </w:r>
    </w:p>
    <w:p>
      <w:r>
        <w:t>External destination: metrics-cdn[.]analyticshub[.]io. Response pattern: /img?d=&lt;Base64&gt;&amp;s=&lt;sequence&gt;. Source attachment: Q3-2026-Global-Markets-Review.docx. These indicators are specific to the supplied lab; they are not independently validated production threat intelligence. The sign-in address 203.0.113.45 is a normal-activity reference in this case, not an attacker indicator.</w:t>
      </w:r>
    </w:p>
    <w:p>
      <w:pPr>
        <w:pStyle w:val="Heading2"/>
      </w:pPr>
      <w:r>
        <w:t>References</w:t>
      </w:r>
    </w:p>
    <w:p>
      <w:r>
        <w:t>[R1] NIST SP 800-61 Revision 3, April 2025, and NIST Incident Response project overview. https://csrc.nist.gov/pubs/sp/800/61/r3/final • https://csrc.nist.gov/projects/incident-response</w:t>
      </w:r>
    </w:p>
    <w:p>
      <w:r>
        <w:t>[R2] MITRE ATLAS indirect prompt injection entry, reproduced by MITRE D3FEND. https://d3fend.mitre.org/offensive-technique/attack/AML.T0051.001/</w:t>
      </w:r>
    </w:p>
    <w:p>
      <w:r>
        <w:t>[R3] CISA and partners, APT40 Tradecraft in Action, AA24-190A. Reporting-structure reference. https://www.cisa.gov/news-events/cybersecurity-advisories/aa24-190a</w:t>
      </w:r>
    </w:p>
    <w:p>
      <w:r>
        <w:t>External references support framework and reporting choices only. Incident findings derive from the supplied lab evidence. References checked on 19 October 2026 UTC.</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Golam Tanvir Rahman  •  18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OPERATION ECHOLEAK  |  LAB INCIDENT RESPONSE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