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Car Service Management &amp; POS System</w:t>
      </w:r>
    </w:p>
    <w:p>
      <w:pPr>
        <w:spacing w:after="400"/>
        <w:jc w:val="center"/>
      </w:pPr>
      <w:r>
        <w:rPr>
          <w:color w:val="4A5548"/>
          <w:sz w:val="28"/>
          <w:szCs w:val="28"/>
        </w:rPr>
        <w:t xml:space="preserve">Business Logic Analysis &amp; Technical Planning Document</w:t>
      </w:r>
    </w:p>
    <w:p>
      <w:pPr>
        <w:pStyle w:val="Heading1"/>
      </w:pPr>
      <w:r>
        <w:t xml:space="preserve">1. Executive Summary</w:t>
      </w:r>
    </w:p>
    <w:p>
      <w:pPr>
        <w:spacing w:after="200"/>
      </w:pPr>
      <w:r>
        <w:t xml:space="preserve">This document outlines the business logic and technical planning for a Car Service Management and Point of Sales (POS) system. The system is designed to operate within specific technical constraints: PostgreSQL database managed through pgAdmin, Python backend, and Streamlit for frontend development. The goal is to create a functional, maintainable, and professional-grade application that an intern developer can easily understand and extend.</w:t>
      </w:r>
    </w:p>
    <w:p>
      <w:pPr>
        <w:spacing w:after="200"/>
      </w:pPr>
      <w:r>
        <w:t xml:space="preserve">The design philosophy emphasizes simplicity over complexity, ensuring that every feature serves a clear business purpose without over-engineering. The system will provide a SaaS-like experience with proper branding, comprehensive functionality for automotive service operations, and an intuitive user interface that maximizes Streamlit's capabilities while working around its limitations.</w:t>
      </w:r>
    </w:p>
    <w:p>
      <w:pPr>
        <w:pStyle w:val="Heading1"/>
      </w:pPr>
      <w:r>
        <w:t xml:space="preserve">2. Industry Standard Features (Research-Based)</w:t>
      </w:r>
    </w:p>
    <w:p>
      <w:pPr>
        <w:spacing w:after="200"/>
      </w:pPr>
      <w:r>
        <w:t xml:space="preserve">Based on comprehensive research of existing automotive service management systems (including RAMP Auto Repair, GarageHive, TechMan, and industry standards from Salesforce Automotive Cloud), the following features are considered essential for a competitive car service management system:</w:t>
      </w:r>
    </w:p>
    <w:p>
      <w:pPr>
        <w:pStyle w:val="Heading2"/>
      </w:pPr>
      <w:r>
        <w:t xml:space="preserve">2.1 Customer &amp; Vehicle Management</w:t>
      </w:r>
    </w:p>
    <w:p>
      <w:pPr>
        <w:pStyle w:val="ListParagraph"/>
        <w:numPr>
          <w:ilvl w:val="0"/>
          <w:numId w:val="2"/>
        </w:numPr>
      </w:pPr>
      <w:r>
        <w:t xml:space="preserve">Centralized customer database with contact details, service history, and preferences</w:t>
      </w:r>
    </w:p>
    <w:p>
      <w:pPr>
        <w:pStyle w:val="ListParagraph"/>
        <w:numPr>
          <w:ilvl w:val="0"/>
          <w:numId w:val="2"/>
        </w:numPr>
      </w:pPr>
      <w:r>
        <w:t xml:space="preserve">Vehicle records including make, model, year, VIN, license plate, and mileage tracking</w:t>
      </w:r>
    </w:p>
    <w:p>
      <w:pPr>
        <w:pStyle w:val="ListParagraph"/>
        <w:numPr>
          <w:ilvl w:val="0"/>
          <w:numId w:val="2"/>
        </w:numPr>
      </w:pPr>
      <w:r>
        <w:t xml:space="preserve">Service history timeline for each vehicle with detailed repair records</w:t>
      </w:r>
    </w:p>
    <w:p>
      <w:pPr>
        <w:pStyle w:val="ListParagraph"/>
        <w:numPr>
          <w:ilvl w:val="0"/>
          <w:numId w:val="2"/>
        </w:numPr>
      </w:pPr>
      <w:r>
        <w:t xml:space="preserve">Customer communication logs and appointment reminders</w:t>
      </w:r>
    </w:p>
    <w:p>
      <w:pPr>
        <w:pStyle w:val="Heading2"/>
      </w:pPr>
      <w:r>
        <w:t xml:space="preserve">2.2 Workshop Operations</w:t>
      </w:r>
    </w:p>
    <w:p>
      <w:pPr>
        <w:pStyle w:val="ListParagraph"/>
        <w:numPr>
          <w:ilvl w:val="0"/>
          <w:numId w:val="2"/>
        </w:numPr>
      </w:pPr>
      <w:r>
        <w:t xml:space="preserve">Digital job cards with detailed service descriptions and technician assignments</w:t>
      </w:r>
    </w:p>
    <w:p>
      <w:pPr>
        <w:pStyle w:val="ListParagraph"/>
        <w:numPr>
          <w:ilvl w:val="0"/>
          <w:numId w:val="2"/>
        </w:numPr>
      </w:pPr>
      <w:r>
        <w:t xml:space="preserve">Real-time service status tracking (Pending, In Progress, Completed, Delivered)</w:t>
      </w:r>
    </w:p>
    <w:p>
      <w:pPr>
        <w:pStyle w:val="ListParagraph"/>
        <w:numPr>
          <w:ilvl w:val="0"/>
          <w:numId w:val="2"/>
        </w:numPr>
      </w:pPr>
      <w:r>
        <w:t xml:space="preserve">Technician workload management and bay allocation</w:t>
      </w:r>
    </w:p>
    <w:p>
      <w:pPr>
        <w:pStyle w:val="ListParagraph"/>
        <w:numPr>
          <w:ilvl w:val="0"/>
          <w:numId w:val="2"/>
        </w:numPr>
      </w:pPr>
      <w:r>
        <w:t xml:space="preserve">Labor time estimation based on standard repair guides</w:t>
      </w:r>
    </w:p>
    <w:p>
      <w:pPr>
        <w:pStyle w:val="Heading2"/>
      </w:pPr>
      <w:r>
        <w:t xml:space="preserve">2.3 Inventory &amp; Parts Management</w:t>
      </w:r>
    </w:p>
    <w:p>
      <w:pPr>
        <w:pStyle w:val="ListParagraph"/>
        <w:numPr>
          <w:ilvl w:val="0"/>
          <w:numId w:val="2"/>
        </w:numPr>
      </w:pPr>
      <w:r>
        <w:t xml:space="preserve">Parts catalog with SKU, pricing, and stock levels</w:t>
      </w:r>
    </w:p>
    <w:p>
      <w:pPr>
        <w:pStyle w:val="ListParagraph"/>
        <w:numPr>
          <w:ilvl w:val="0"/>
          <w:numId w:val="2"/>
        </w:numPr>
      </w:pPr>
      <w:r>
        <w:t xml:space="preserve">Automatic low-stock alerts and reorder point notifications</w:t>
      </w:r>
    </w:p>
    <w:p>
      <w:pPr>
        <w:pStyle w:val="ListParagraph"/>
        <w:numPr>
          <w:ilvl w:val="0"/>
          <w:numId w:val="2"/>
        </w:numPr>
      </w:pPr>
      <w:r>
        <w:t xml:space="preserve">Parts usage tracking per service order</w:t>
      </w:r>
    </w:p>
    <w:p>
      <w:pPr>
        <w:pStyle w:val="ListParagraph"/>
        <w:numPr>
          <w:ilvl w:val="0"/>
          <w:numId w:val="2"/>
        </w:numPr>
      </w:pPr>
      <w:r>
        <w:t xml:space="preserve">Supplier management and purchase order generation</w:t>
      </w:r>
    </w:p>
    <w:p>
      <w:pPr>
        <w:pStyle w:val="Heading2"/>
      </w:pPr>
      <w:r>
        <w:t xml:space="preserve">2.4 Point of Sale &amp; Billing</w:t>
      </w:r>
    </w:p>
    <w:p>
      <w:pPr>
        <w:pStyle w:val="ListParagraph"/>
        <w:numPr>
          <w:ilvl w:val="0"/>
          <w:numId w:val="2"/>
        </w:numPr>
      </w:pPr>
      <w:r>
        <w:t xml:space="preserve">Quick POS interface for over-the-counter parts sales</w:t>
      </w:r>
    </w:p>
    <w:p>
      <w:pPr>
        <w:pStyle w:val="ListParagraph"/>
        <w:numPr>
          <w:ilvl w:val="0"/>
          <w:numId w:val="2"/>
        </w:numPr>
      </w:pPr>
      <w:r>
        <w:t xml:space="preserve">Service invoice generation with itemized labor and parts</w:t>
      </w:r>
    </w:p>
    <w:p>
      <w:pPr>
        <w:pStyle w:val="ListParagraph"/>
        <w:numPr>
          <w:ilvl w:val="0"/>
          <w:numId w:val="2"/>
        </w:numPr>
      </w:pPr>
      <w:r>
        <w:t xml:space="preserve">Estimate approval workflow before service execution</w:t>
      </w:r>
    </w:p>
    <w:p>
      <w:pPr>
        <w:pStyle w:val="ListParagraph"/>
        <w:numPr>
          <w:ilvl w:val="0"/>
          <w:numId w:val="2"/>
        </w:numPr>
      </w:pPr>
      <w:r>
        <w:t xml:space="preserve">Tax calculations, discounts, and payment method tracking</w:t>
      </w:r>
    </w:p>
    <w:p>
      <w:pPr>
        <w:pStyle w:val="Heading1"/>
      </w:pPr>
      <w:r>
        <w:t xml:space="preserve">3. Core Business Modules</w:t>
      </w:r>
    </w:p>
    <w:p>
      <w:pPr>
        <w:spacing w:after="200"/>
      </w:pPr>
      <w:r>
        <w:t xml:space="preserve">The system is organized into distinct modules, each responsible for a specific business domain. This modular architecture ensures clean separation of concerns, making the codebase easier to maintain and extend. Each module corresponds to a major functional area of the automotive service business.</w:t>
      </w:r>
    </w:p>
    <w:p>
      <w:pPr>
        <w:pStyle w:val="Heading2"/>
      </w:pPr>
      <w:r>
        <w:t xml:space="preserve">3.1 Customer Management Module</w:t>
      </w:r>
    </w:p>
    <w:p>
      <w:pPr>
        <w:spacing w:after="100"/>
      </w:pPr>
      <w:r>
        <w:rPr>
          <w:b/>
          <w:bCs/>
        </w:rPr>
        <w:t xml:space="preserve">Purpose: </w:t>
      </w:r>
      <w:r>
        <w:t xml:space="preserve">Handle all customer-related operations including registration, profile management, communication tracking, and service history access.</w:t>
      </w:r>
    </w:p>
    <w:p>
      <w:pPr>
        <w:spacing w:after="100"/>
      </w:pPr>
      <w:r>
        <w:rPr>
          <w:b/>
          <w:bCs/>
        </w:rPr>
        <w:t xml:space="preserve">Key Functions:</w:t>
      </w:r>
    </w:p>
    <w:p>
      <w:pPr>
        <w:pStyle w:val="ListParagraph"/>
        <w:numPr>
          <w:ilvl w:val="0"/>
          <w:numId w:val="3"/>
        </w:numPr>
      </w:pPr>
      <w:r>
        <w:t xml:space="preserve">Customer registration with validation for duplicate entries</w:t>
      </w:r>
    </w:p>
    <w:p>
      <w:pPr>
        <w:pStyle w:val="ListParagraph"/>
        <w:numPr>
          <w:ilvl w:val="0"/>
          <w:numId w:val="3"/>
        </w:numPr>
      </w:pPr>
      <w:r>
        <w:t xml:space="preserve">Search and filter customers by name, phone, vehicle, or last service date</w:t>
      </w:r>
    </w:p>
    <w:p>
      <w:pPr>
        <w:pStyle w:val="ListParagraph"/>
        <w:numPr>
          <w:ilvl w:val="0"/>
          <w:numId w:val="3"/>
        </w:numPr>
      </w:pPr>
      <w:r>
        <w:t xml:space="preserve">Customer profile updates and contact information management</w:t>
      </w:r>
    </w:p>
    <w:p>
      <w:pPr>
        <w:pStyle w:val="ListParagraph"/>
        <w:numPr>
          <w:ilvl w:val="0"/>
          <w:numId w:val="3"/>
        </w:numPr>
      </w:pPr>
      <w:r>
        <w:t xml:space="preserve">Service history display with clickable details</w:t>
      </w:r>
    </w:p>
    <w:p>
      <w:pPr>
        <w:pStyle w:val="ListParagraph"/>
        <w:numPr>
          <w:ilvl w:val="0"/>
          <w:numId w:val="3"/>
        </w:numPr>
      </w:pPr>
      <w:r>
        <w:t xml:space="preserve">Customer-specific pricing tiers (regular, wholesale, VIP)</w:t>
      </w:r>
    </w:p>
    <w:p>
      <w:pPr>
        <w:pStyle w:val="Heading2"/>
      </w:pPr>
      <w:r>
        <w:t xml:space="preserve">3.2 Vehicle Management Module</w:t>
      </w:r>
    </w:p>
    <w:p>
      <w:pPr>
        <w:spacing w:after="100"/>
      </w:pPr>
      <w:r>
        <w:rPr>
          <w:b/>
          <w:bCs/>
        </w:rPr>
        <w:t xml:space="preserve">Purpose: </w:t>
      </w:r>
      <w:r>
        <w:t xml:space="preserve">Maintain comprehensive vehicle records linked to customers, tracking all service-related information per vehicle.</w:t>
      </w:r>
    </w:p>
    <w:p>
      <w:pPr>
        <w:spacing w:after="100"/>
      </w:pPr>
      <w:r>
        <w:rPr>
          <w:b/>
          <w:bCs/>
        </w:rPr>
        <w:t xml:space="preserve">Key Functions:</w:t>
      </w:r>
    </w:p>
    <w:p>
      <w:pPr>
        <w:pStyle w:val="ListParagraph"/>
        <w:numPr>
          <w:ilvl w:val="0"/>
          <w:numId w:val="3"/>
        </w:numPr>
      </w:pPr>
      <w:r>
        <w:t xml:space="preserve">Vehicle registration with VIN validation and decoding</w:t>
      </w:r>
    </w:p>
    <w:p>
      <w:pPr>
        <w:pStyle w:val="ListParagraph"/>
        <w:numPr>
          <w:ilvl w:val="0"/>
          <w:numId w:val="3"/>
        </w:numPr>
      </w:pPr>
      <w:r>
        <w:t xml:space="preserve">Automatic vehicle information population from VIN lookup</w:t>
      </w:r>
    </w:p>
    <w:p>
      <w:pPr>
        <w:pStyle w:val="ListParagraph"/>
        <w:numPr>
          <w:ilvl w:val="0"/>
          <w:numId w:val="3"/>
        </w:numPr>
      </w:pPr>
      <w:r>
        <w:t xml:space="preserve">Mileage tracking with odometer verification at each service</w:t>
      </w:r>
    </w:p>
    <w:p>
      <w:pPr>
        <w:pStyle w:val="ListParagraph"/>
        <w:numPr>
          <w:ilvl w:val="0"/>
          <w:numId w:val="3"/>
        </w:numPr>
      </w:pPr>
      <w:r>
        <w:t xml:space="preserve">Service interval reminders based on time and mileage</w:t>
      </w:r>
    </w:p>
    <w:p>
      <w:pPr>
        <w:pStyle w:val="ListParagraph"/>
        <w:numPr>
          <w:ilvl w:val="0"/>
          <w:numId w:val="3"/>
        </w:numPr>
      </w:pPr>
      <w:r>
        <w:t xml:space="preserve">Vehicle-specific notes and special instructions</w:t>
      </w:r>
    </w:p>
    <w:p>
      <w:pPr>
        <w:pStyle w:val="Heading2"/>
      </w:pPr>
      <w:r>
        <w:t xml:space="preserve">3.3 Service Order Module</w:t>
      </w:r>
    </w:p>
    <w:p>
      <w:pPr>
        <w:spacing w:after="100"/>
      </w:pPr>
      <w:r>
        <w:rPr>
          <w:b/>
          <w:bCs/>
        </w:rPr>
        <w:t xml:space="preserve">Purpose: </w:t>
      </w:r>
      <w:r>
        <w:t xml:space="preserve">Manage the complete lifecycle of service orders from creation to delivery, including job assignments and progress tracking.</w:t>
      </w:r>
    </w:p>
    <w:p>
      <w:pPr>
        <w:spacing w:after="100"/>
      </w:pPr>
      <w:r>
        <w:rPr>
          <w:b/>
          <w:bCs/>
        </w:rPr>
        <w:t xml:space="preserve">Key Functions:</w:t>
      </w:r>
    </w:p>
    <w:p>
      <w:pPr>
        <w:pStyle w:val="ListParagraph"/>
        <w:numPr>
          <w:ilvl w:val="0"/>
          <w:numId w:val="3"/>
        </w:numPr>
      </w:pPr>
      <w:r>
        <w:t xml:space="preserve">Service order creation with customer/vehicle selection</w:t>
      </w:r>
    </w:p>
    <w:p>
      <w:pPr>
        <w:pStyle w:val="ListParagraph"/>
        <w:numPr>
          <w:ilvl w:val="0"/>
          <w:numId w:val="3"/>
        </w:numPr>
      </w:pPr>
      <w:r>
        <w:t xml:space="preserve">Service type selection from predefined catalog</w:t>
      </w:r>
    </w:p>
    <w:p>
      <w:pPr>
        <w:pStyle w:val="ListParagraph"/>
        <w:numPr>
          <w:ilvl w:val="0"/>
          <w:numId w:val="3"/>
        </w:numPr>
      </w:pPr>
      <w:r>
        <w:t xml:space="preserve">Parts selection with automatic inventory check</w:t>
      </w:r>
    </w:p>
    <w:p>
      <w:pPr>
        <w:pStyle w:val="ListParagraph"/>
        <w:numPr>
          <w:ilvl w:val="0"/>
          <w:numId w:val="3"/>
        </w:numPr>
      </w:pPr>
      <w:r>
        <w:t xml:space="preserve">Labor time allocation and technician assignment</w:t>
      </w:r>
    </w:p>
    <w:p>
      <w:pPr>
        <w:pStyle w:val="ListParagraph"/>
        <w:numPr>
          <w:ilvl w:val="0"/>
          <w:numId w:val="3"/>
        </w:numPr>
      </w:pPr>
      <w:r>
        <w:t xml:space="preserve">Status workflow management (Open, In Progress, Waiting Parts, Completed, Invoiced)</w:t>
      </w:r>
    </w:p>
    <w:p>
      <w:pPr>
        <w:pStyle w:val="Heading2"/>
      </w:pPr>
      <w:r>
        <w:t xml:space="preserve">3.4 Inventory Management Module</w:t>
      </w:r>
    </w:p>
    <w:p>
      <w:pPr>
        <w:spacing w:after="100"/>
      </w:pPr>
      <w:r>
        <w:rPr>
          <w:b/>
          <w:bCs/>
        </w:rPr>
        <w:t xml:space="preserve">Purpose: </w:t>
      </w:r>
      <w:r>
        <w:t xml:space="preserve">Track parts inventory, manage stock levels, and handle procurement workflows.</w:t>
      </w:r>
    </w:p>
    <w:p>
      <w:pPr>
        <w:spacing w:after="100"/>
      </w:pPr>
      <w:r>
        <w:rPr>
          <w:b/>
          <w:bCs/>
        </w:rPr>
        <w:t xml:space="preserve">Key Functions:</w:t>
      </w:r>
    </w:p>
    <w:p>
      <w:pPr>
        <w:pStyle w:val="ListParagraph"/>
        <w:numPr>
          <w:ilvl w:val="0"/>
          <w:numId w:val="3"/>
        </w:numPr>
      </w:pPr>
      <w:r>
        <w:t xml:space="preserve">Parts catalog with categories, suppliers, and pricing</w:t>
      </w:r>
    </w:p>
    <w:p>
      <w:pPr>
        <w:pStyle w:val="ListParagraph"/>
        <w:numPr>
          <w:ilvl w:val="0"/>
          <w:numId w:val="3"/>
        </w:numPr>
      </w:pPr>
      <w:r>
        <w:t xml:space="preserve">Stock level monitoring with low-stock alerts</w:t>
      </w:r>
    </w:p>
    <w:p>
      <w:pPr>
        <w:pStyle w:val="ListParagraph"/>
        <w:numPr>
          <w:ilvl w:val="0"/>
          <w:numId w:val="3"/>
        </w:numPr>
      </w:pPr>
      <w:r>
        <w:t xml:space="preserve">Stock adjustment (receipts, issues, returns, write-offs)</w:t>
      </w:r>
    </w:p>
    <w:p>
      <w:pPr>
        <w:pStyle w:val="ListParagraph"/>
        <w:numPr>
          <w:ilvl w:val="0"/>
          <w:numId w:val="3"/>
        </w:numPr>
      </w:pPr>
      <w:r>
        <w:t xml:space="preserve">Purchase order creation for supplier restocking</w:t>
      </w:r>
    </w:p>
    <w:p>
      <w:pPr>
        <w:pStyle w:val="ListParagraph"/>
        <w:numPr>
          <w:ilvl w:val="0"/>
          <w:numId w:val="3"/>
        </w:numPr>
      </w:pPr>
      <w:r>
        <w:t xml:space="preserve">Inventory valuation and cost tracking</w:t>
      </w:r>
    </w:p>
    <w:p>
      <w:pPr>
        <w:pStyle w:val="Heading2"/>
      </w:pPr>
      <w:r>
        <w:t xml:space="preserve">3.5 Point of Sale (POS) Module</w:t>
      </w:r>
    </w:p>
    <w:p>
      <w:pPr>
        <w:spacing w:after="100"/>
      </w:pPr>
      <w:r>
        <w:rPr>
          <w:b/>
          <w:bCs/>
        </w:rPr>
        <w:t xml:space="preserve">Purpose: </w:t>
      </w:r>
      <w:r>
        <w:t xml:space="preserve">Enable quick sales transactions for walk-in customers and finalize service invoices.</w:t>
      </w:r>
    </w:p>
    <w:p>
      <w:pPr>
        <w:spacing w:after="100"/>
      </w:pPr>
      <w:r>
        <w:rPr>
          <w:b/>
          <w:bCs/>
        </w:rPr>
        <w:t xml:space="preserve">Key Functions:</w:t>
      </w:r>
    </w:p>
    <w:p>
      <w:pPr>
        <w:pStyle w:val="ListParagraph"/>
        <w:numPr>
          <w:ilvl w:val="0"/>
          <w:numId w:val="3"/>
        </w:numPr>
      </w:pPr>
      <w:r>
        <w:t xml:space="preserve">Quick sale interface for over-the-counter parts</w:t>
      </w:r>
    </w:p>
    <w:p>
      <w:pPr>
        <w:pStyle w:val="ListParagraph"/>
        <w:numPr>
          <w:ilvl w:val="0"/>
          <w:numId w:val="3"/>
        </w:numPr>
      </w:pPr>
      <w:r>
        <w:t xml:space="preserve">Barcode/SKU search for fast item lookup</w:t>
      </w:r>
    </w:p>
    <w:p>
      <w:pPr>
        <w:pStyle w:val="ListParagraph"/>
        <w:numPr>
          <w:ilvl w:val="0"/>
          <w:numId w:val="3"/>
        </w:numPr>
      </w:pPr>
      <w:r>
        <w:t xml:space="preserve">Shopping cart with quantity adjustments</w:t>
      </w:r>
    </w:p>
    <w:p>
      <w:pPr>
        <w:pStyle w:val="ListParagraph"/>
        <w:numPr>
          <w:ilvl w:val="0"/>
          <w:numId w:val="3"/>
        </w:numPr>
      </w:pPr>
      <w:r>
        <w:t xml:space="preserve">Payment processing with multiple payment methods</w:t>
      </w:r>
    </w:p>
    <w:p>
      <w:pPr>
        <w:pStyle w:val="ListParagraph"/>
        <w:numPr>
          <w:ilvl w:val="0"/>
          <w:numId w:val="3"/>
        </w:numPr>
      </w:pPr>
      <w:r>
        <w:t xml:space="preserve">Receipt generation and printing</w:t>
      </w:r>
    </w:p>
    <w:p>
      <w:pPr>
        <w:pStyle w:val="Heading2"/>
      </w:pPr>
      <w:r>
        <w:t xml:space="preserve">3.6 Invoice &amp; Billing Module</w:t>
      </w:r>
    </w:p>
    <w:p>
      <w:pPr>
        <w:spacing w:after="100"/>
      </w:pPr>
      <w:r>
        <w:rPr>
          <w:b/>
          <w:bCs/>
        </w:rPr>
        <w:t xml:space="preserve">Purpose: </w:t>
      </w:r>
      <w:r>
        <w:t xml:space="preserve">Generate professional invoices, manage payments, and track accounts receivable.</w:t>
      </w:r>
    </w:p>
    <w:p>
      <w:pPr>
        <w:spacing w:after="100"/>
      </w:pPr>
      <w:r>
        <w:rPr>
          <w:b/>
          <w:bCs/>
        </w:rPr>
        <w:t xml:space="preserve">Key Functions:</w:t>
      </w:r>
    </w:p>
    <w:p>
      <w:pPr>
        <w:pStyle w:val="ListParagraph"/>
        <w:numPr>
          <w:ilvl w:val="0"/>
          <w:numId w:val="3"/>
        </w:numPr>
      </w:pPr>
      <w:r>
        <w:t xml:space="preserve">Invoice generation from completed service orders</w:t>
      </w:r>
    </w:p>
    <w:p>
      <w:pPr>
        <w:pStyle w:val="ListParagraph"/>
        <w:numPr>
          <w:ilvl w:val="0"/>
          <w:numId w:val="3"/>
        </w:numPr>
      </w:pPr>
      <w:r>
        <w:t xml:space="preserve">Tax calculation with configurable rates</w:t>
      </w:r>
    </w:p>
    <w:p>
      <w:pPr>
        <w:pStyle w:val="ListParagraph"/>
        <w:numPr>
          <w:ilvl w:val="0"/>
          <w:numId w:val="3"/>
        </w:numPr>
      </w:pPr>
      <w:r>
        <w:t xml:space="preserve">Discount application (percentage or fixed amount)</w:t>
      </w:r>
    </w:p>
    <w:p>
      <w:pPr>
        <w:pStyle w:val="ListParagraph"/>
        <w:numPr>
          <w:ilvl w:val="0"/>
          <w:numId w:val="3"/>
        </w:numPr>
      </w:pPr>
      <w:r>
        <w:t xml:space="preserve">Payment recording with partial payment support</w:t>
      </w:r>
    </w:p>
    <w:p>
      <w:pPr>
        <w:pStyle w:val="ListParagraph"/>
        <w:numPr>
          <w:ilvl w:val="0"/>
          <w:numId w:val="3"/>
        </w:numPr>
      </w:pPr>
      <w:r>
        <w:t xml:space="preserve">Invoice print/email and payment status tracking</w:t>
      </w:r>
    </w:p>
    <w:p>
      <w:pPr>
        <w:pStyle w:val="Heading2"/>
      </w:pPr>
      <w:r>
        <w:t xml:space="preserve">3.7 Reporting Module</w:t>
      </w:r>
    </w:p>
    <w:p>
      <w:pPr>
        <w:spacing w:after="100"/>
      </w:pPr>
      <w:r>
        <w:rPr>
          <w:b/>
          <w:bCs/>
        </w:rPr>
        <w:t xml:space="preserve">Purpose: </w:t>
      </w:r>
      <w:r>
        <w:t xml:space="preserve">Provide business intelligence through various operational and financial reports.</w:t>
      </w:r>
    </w:p>
    <w:p>
      <w:pPr>
        <w:spacing w:after="100"/>
      </w:pPr>
      <w:r>
        <w:rPr>
          <w:b/>
          <w:bCs/>
        </w:rPr>
        <w:t xml:space="preserve">Key Functions:</w:t>
      </w:r>
    </w:p>
    <w:p>
      <w:pPr>
        <w:pStyle w:val="ListParagraph"/>
        <w:numPr>
          <w:ilvl w:val="0"/>
          <w:numId w:val="3"/>
        </w:numPr>
      </w:pPr>
      <w:r>
        <w:t xml:space="preserve">Daily/Monthly sales reports</w:t>
      </w:r>
    </w:p>
    <w:p>
      <w:pPr>
        <w:pStyle w:val="ListParagraph"/>
        <w:numPr>
          <w:ilvl w:val="0"/>
          <w:numId w:val="3"/>
        </w:numPr>
      </w:pPr>
      <w:r>
        <w:t xml:space="preserve">Technician performance and productivity reports</w:t>
      </w:r>
    </w:p>
    <w:p>
      <w:pPr>
        <w:pStyle w:val="ListParagraph"/>
        <w:numPr>
          <w:ilvl w:val="0"/>
          <w:numId w:val="3"/>
        </w:numPr>
      </w:pPr>
      <w:r>
        <w:t xml:space="preserve">Inventory valuation and turnover reports</w:t>
      </w:r>
    </w:p>
    <w:p>
      <w:pPr>
        <w:pStyle w:val="ListParagraph"/>
        <w:numPr>
          <w:ilvl w:val="0"/>
          <w:numId w:val="3"/>
        </w:numPr>
      </w:pPr>
      <w:r>
        <w:t xml:space="preserve">Customer analytics (retention, frequency, average ticket)</w:t>
      </w:r>
    </w:p>
    <w:p>
      <w:pPr>
        <w:pStyle w:val="ListParagraph"/>
        <w:numPr>
          <w:ilvl w:val="0"/>
          <w:numId w:val="3"/>
        </w:numPr>
      </w:pPr>
      <w:r>
        <w:t xml:space="preserve">Service type popularity and revenue analysis</w:t>
      </w:r>
    </w:p>
    <w:p>
      <w:pPr>
        <w:pStyle w:val="Heading1"/>
      </w:pPr>
      <w:r>
        <w:t xml:space="preserve">4. Data Structures (Entity Design)</w:t>
      </w:r>
    </w:p>
    <w:p>
      <w:pPr>
        <w:spacing w:after="200"/>
      </w:pPr>
      <w:r>
        <w:t xml:space="preserve">This section defines the core data entities and their relationships. Each entity represents a business concept with specific attributes. The design follows a relational model suitable for PostgreSQL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7160"/>
      </w:tblGrid>
      <w:tr>
        <w:trPr>
          <w:tblHeader/>
        </w:trPr>
        <w:tc>
          <w:tcPr>
            <w:tcW w:type="dxa" w:w="2200"/>
            <w:tcBorders>
              <w:top w:val="single" w:color="1A1F16" w:sz="12"/>
              <w:left w:val="single" w:color="1A1F16" w:sz="12"/>
              <w:bottom w:val="single" w:color="1A1F16" w:sz="12"/>
              <w:right w:val="single" w:color="1A1F16" w:sz="12"/>
            </w:tcBorders>
            <w:shd w:fill="E8EDE6" w:val="clear"/>
            <w:vAlign w:val="center"/>
          </w:tcPr>
          <w:p>
            <w:pPr>
              <w:jc w:val="center"/>
            </w:pPr>
            <w:r>
              <w:rPr>
                <w:b/>
                <w:bCs/>
                <w:sz w:val="22"/>
                <w:szCs w:val="22"/>
              </w:rPr>
              <w:t xml:space="preserve">Entity</w:t>
            </w:r>
          </w:p>
        </w:tc>
        <w:tc>
          <w:tcPr>
            <w:tcW w:type="dxa" w:w="7160"/>
            <w:tcBorders>
              <w:top w:val="single" w:color="1A1F16" w:sz="12"/>
              <w:left w:val="single" w:color="1A1F16" w:sz="12"/>
              <w:bottom w:val="single" w:color="1A1F16" w:sz="12"/>
              <w:right w:val="single" w:color="1A1F16" w:sz="12"/>
            </w:tcBorders>
            <w:shd w:fill="E8EDE6" w:val="clear"/>
            <w:vAlign w:val="center"/>
          </w:tcPr>
          <w:p>
            <w:pPr>
              <w:jc w:val="center"/>
            </w:pPr>
            <w:r>
              <w:rPr>
                <w:b/>
                <w:bCs/>
                <w:sz w:val="22"/>
                <w:szCs w:val="22"/>
              </w:rPr>
              <w:t xml:space="preserve">Attributes &amp; Description</w:t>
            </w:r>
          </w:p>
        </w:tc>
      </w:tr>
      <w:tr>
        <w:tc>
          <w:tcPr>
            <w:tcW w:type="dxa" w:w="2200"/>
            <w:tcBorders>
              <w:top w:val="single" w:color="1A1F16" w:sz="12"/>
              <w:left w:val="nil"/>
              <w:bottom w:val="single" w:color="1A1F16" w:sz="12"/>
              <w:right w:val="nil"/>
            </w:tcBorders>
          </w:tcPr>
          <w:p>
            <w:r>
              <w:rPr>
                <w:b/>
                <w:bCs/>
              </w:rPr>
              <w:t xml:space="preserve">Customer</w:t>
            </w:r>
          </w:p>
        </w:tc>
        <w:tc>
          <w:tcPr>
            <w:tcW w:type="dxa" w:w="7160"/>
            <w:tcBorders>
              <w:top w:val="single" w:color="1A1F16" w:sz="12"/>
              <w:left w:val="nil"/>
              <w:bottom w:val="single" w:color="1A1F16" w:sz="12"/>
              <w:right w:val="nil"/>
            </w:tcBorders>
          </w:tcPr>
          <w:p>
            <w:r>
              <w:t xml:space="preserve">id, name, phone, email, address, customer_type (regular/wholesale/VIP), notes, created_at, updated_at</w:t>
            </w:r>
          </w:p>
        </w:tc>
      </w:tr>
      <w:tr>
        <w:tc>
          <w:tcPr>
            <w:tcW w:type="dxa" w:w="2200"/>
            <w:tcBorders>
              <w:top w:val="single" w:color="1A1F16" w:sz="12"/>
              <w:left w:val="nil"/>
              <w:bottom w:val="single" w:color="1A1F16" w:sz="12"/>
              <w:right w:val="nil"/>
            </w:tcBorders>
          </w:tcPr>
          <w:p>
            <w:r>
              <w:rPr>
                <w:b/>
                <w:bCs/>
              </w:rPr>
              <w:t xml:space="preserve">Vehicle</w:t>
            </w:r>
          </w:p>
        </w:tc>
        <w:tc>
          <w:tcPr>
            <w:tcW w:type="dxa" w:w="7160"/>
            <w:tcBorders>
              <w:top w:val="single" w:color="1A1F16" w:sz="12"/>
              <w:left w:val="nil"/>
              <w:bottom w:val="single" w:color="1A1F16" w:sz="12"/>
              <w:right w:val="nil"/>
            </w:tcBorders>
          </w:tcPr>
          <w:p>
            <w:r>
              <w:t xml:space="preserve">id, customer_id (FK), make, model, year, vin, license_plate, color, current_mileage, notes, created_at</w:t>
            </w:r>
          </w:p>
        </w:tc>
      </w:tr>
      <w:tr>
        <w:tc>
          <w:tcPr>
            <w:tcW w:type="dxa" w:w="2200"/>
            <w:tcBorders>
              <w:top w:val="single" w:color="1A1F16" w:sz="12"/>
              <w:left w:val="nil"/>
              <w:bottom w:val="single" w:color="1A1F16" w:sz="12"/>
              <w:right w:val="nil"/>
            </w:tcBorders>
          </w:tcPr>
          <w:p>
            <w:r>
              <w:rPr>
                <w:b/>
                <w:bCs/>
              </w:rPr>
              <w:t xml:space="preserve">ServiceOrder</w:t>
            </w:r>
          </w:p>
        </w:tc>
        <w:tc>
          <w:tcPr>
            <w:tcW w:type="dxa" w:w="7160"/>
            <w:tcBorders>
              <w:top w:val="single" w:color="1A1F16" w:sz="12"/>
              <w:left w:val="nil"/>
              <w:bottom w:val="single" w:color="1A1F16" w:sz="12"/>
              <w:right w:val="nil"/>
            </w:tcBorders>
          </w:tcPr>
          <w:p>
            <w:r>
              <w:t xml:space="preserve">id, order_number, customer_id (FK), vehicle_id (FK), status, total_amount, notes, created_at, completed_at</w:t>
            </w:r>
          </w:p>
        </w:tc>
      </w:tr>
      <w:tr>
        <w:tc>
          <w:tcPr>
            <w:tcW w:type="dxa" w:w="2200"/>
            <w:tcBorders>
              <w:top w:val="single" w:color="1A1F16" w:sz="12"/>
              <w:left w:val="nil"/>
              <w:bottom w:val="single" w:color="1A1F16" w:sz="12"/>
              <w:right w:val="nil"/>
            </w:tcBorders>
          </w:tcPr>
          <w:p>
            <w:r>
              <w:rPr>
                <w:b/>
                <w:bCs/>
              </w:rPr>
              <w:t xml:space="preserve">ServiceItem</w:t>
            </w:r>
          </w:p>
        </w:tc>
        <w:tc>
          <w:tcPr>
            <w:tcW w:type="dxa" w:w="7160"/>
            <w:tcBorders>
              <w:top w:val="single" w:color="1A1F16" w:sz="12"/>
              <w:left w:val="nil"/>
              <w:bottom w:val="single" w:color="1A1F16" w:sz="12"/>
              <w:right w:val="nil"/>
            </w:tcBorders>
          </w:tcPr>
          <w:p>
            <w:r>
              <w:t xml:space="preserve">id, service_order_id (FK), service_type_id (FK), description, labor_hours, labor_rate, labor_cost, status</w:t>
            </w:r>
          </w:p>
        </w:tc>
      </w:tr>
      <w:tr>
        <w:tc>
          <w:tcPr>
            <w:tcW w:type="dxa" w:w="2200"/>
            <w:tcBorders>
              <w:top w:val="single" w:color="1A1F16" w:sz="12"/>
              <w:left w:val="nil"/>
              <w:bottom w:val="single" w:color="1A1F16" w:sz="12"/>
              <w:right w:val="nil"/>
            </w:tcBorders>
          </w:tcPr>
          <w:p>
            <w:r>
              <w:rPr>
                <w:b/>
                <w:bCs/>
              </w:rPr>
              <w:t xml:space="preserve">Part</w:t>
            </w:r>
          </w:p>
        </w:tc>
        <w:tc>
          <w:tcPr>
            <w:tcW w:type="dxa" w:w="7160"/>
            <w:tcBorders>
              <w:top w:val="single" w:color="1A1F16" w:sz="12"/>
              <w:left w:val="nil"/>
              <w:bottom w:val="single" w:color="1A1F16" w:sz="12"/>
              <w:right w:val="nil"/>
            </w:tcBorders>
          </w:tcPr>
          <w:p>
            <w:r>
              <w:t xml:space="preserve">id, sku, name, category, supplier_id (FK), cost_price, selling_price, stock_quantity, reorder_level, location</w:t>
            </w:r>
          </w:p>
        </w:tc>
      </w:tr>
      <w:tr>
        <w:tc>
          <w:tcPr>
            <w:tcW w:type="dxa" w:w="2200"/>
            <w:tcBorders>
              <w:top w:val="single" w:color="1A1F16" w:sz="12"/>
              <w:left w:val="nil"/>
              <w:bottom w:val="single" w:color="1A1F16" w:sz="12"/>
              <w:right w:val="nil"/>
            </w:tcBorders>
          </w:tcPr>
          <w:p>
            <w:r>
              <w:rPr>
                <w:b/>
                <w:bCs/>
              </w:rPr>
              <w:t xml:space="preserve">OrderPart</w:t>
            </w:r>
          </w:p>
        </w:tc>
        <w:tc>
          <w:tcPr>
            <w:tcW w:type="dxa" w:w="7160"/>
            <w:tcBorders>
              <w:top w:val="single" w:color="1A1F16" w:sz="12"/>
              <w:left w:val="nil"/>
              <w:bottom w:val="single" w:color="1A1F16" w:sz="12"/>
              <w:right w:val="nil"/>
            </w:tcBorders>
          </w:tcPr>
          <w:p>
            <w:r>
              <w:t xml:space="preserve">id, service_order_id (FK), part_id (FK), quantity, unit_price, total_price (junction table for parts used in orders)</w:t>
            </w:r>
          </w:p>
        </w:tc>
      </w:tr>
      <w:tr>
        <w:tc>
          <w:tcPr>
            <w:tcW w:type="dxa" w:w="2200"/>
            <w:tcBorders>
              <w:top w:val="single" w:color="1A1F16" w:sz="12"/>
              <w:left w:val="nil"/>
              <w:bottom w:val="single" w:color="1A1F16" w:sz="12"/>
              <w:right w:val="nil"/>
            </w:tcBorders>
          </w:tcPr>
          <w:p>
            <w:r>
              <w:rPr>
                <w:b/>
                <w:bCs/>
              </w:rPr>
              <w:t xml:space="preserve">Invoice</w:t>
            </w:r>
          </w:p>
        </w:tc>
        <w:tc>
          <w:tcPr>
            <w:tcW w:type="dxa" w:w="7160"/>
            <w:tcBorders>
              <w:top w:val="single" w:color="1A1F16" w:sz="12"/>
              <w:left w:val="nil"/>
              <w:bottom w:val="single" w:color="1A1F16" w:sz="12"/>
              <w:right w:val="nil"/>
            </w:tcBorders>
          </w:tcPr>
          <w:p>
            <w:r>
              <w:t xml:space="preserve">id, invoice_number, service_order_id (FK), subtotal, tax_amount, discount_amount, total_amount, status, created_at</w:t>
            </w:r>
          </w:p>
        </w:tc>
      </w:tr>
      <w:tr>
        <w:tc>
          <w:tcPr>
            <w:tcW w:type="dxa" w:w="2200"/>
            <w:tcBorders>
              <w:top w:val="single" w:color="1A1F16" w:sz="12"/>
              <w:left w:val="nil"/>
              <w:bottom w:val="single" w:color="1A1F16" w:sz="12"/>
              <w:right w:val="nil"/>
            </w:tcBorders>
          </w:tcPr>
          <w:p>
            <w:r>
              <w:rPr>
                <w:b/>
                <w:bCs/>
              </w:rPr>
              <w:t xml:space="preserve">Payment</w:t>
            </w:r>
          </w:p>
        </w:tc>
        <w:tc>
          <w:tcPr>
            <w:tcW w:type="dxa" w:w="7160"/>
            <w:tcBorders>
              <w:top w:val="single" w:color="1A1F16" w:sz="12"/>
              <w:left w:val="nil"/>
              <w:bottom w:val="single" w:color="1A1F16" w:sz="12"/>
              <w:right w:val="nil"/>
            </w:tcBorders>
          </w:tcPr>
          <w:p>
            <w:r>
              <w:t xml:space="preserve">id, invoice_id (FK), amount, payment_method (cash/card/transfer), reference, paid_at</w:t>
            </w:r>
          </w:p>
        </w:tc>
      </w:tr>
      <w:tr>
        <w:tc>
          <w:tcPr>
            <w:tcW w:type="dxa" w:w="2200"/>
            <w:tcBorders>
              <w:top w:val="single" w:color="1A1F16" w:sz="12"/>
              <w:left w:val="nil"/>
              <w:bottom w:val="single" w:color="1A1F16" w:sz="12"/>
              <w:right w:val="nil"/>
            </w:tcBorders>
          </w:tcPr>
          <w:p>
            <w:r>
              <w:rPr>
                <w:b/>
                <w:bCs/>
              </w:rPr>
              <w:t xml:space="preserve">Technician</w:t>
            </w:r>
          </w:p>
        </w:tc>
        <w:tc>
          <w:tcPr>
            <w:tcW w:type="dxa" w:w="7160"/>
            <w:tcBorders>
              <w:top w:val="single" w:color="1A1F16" w:sz="12"/>
              <w:left w:val="nil"/>
              <w:bottom w:val="single" w:color="1A1F16" w:sz="12"/>
              <w:right w:val="nil"/>
            </w:tcBorders>
          </w:tcPr>
          <w:p>
            <w:r>
              <w:t xml:space="preserve">id, name, employee_id, specialty, hourly_rate, phone, is_active, created_at</w:t>
            </w:r>
          </w:p>
        </w:tc>
      </w:tr>
      <w:tr>
        <w:tc>
          <w:tcPr>
            <w:tcW w:type="dxa" w:w="2200"/>
            <w:tcBorders>
              <w:top w:val="single" w:color="1A1F16" w:sz="12"/>
              <w:left w:val="nil"/>
              <w:bottom w:val="single" w:color="1A1F16" w:sz="12"/>
              <w:right w:val="nil"/>
            </w:tcBorders>
          </w:tcPr>
          <w:p>
            <w:r>
              <w:rPr>
                <w:b/>
                <w:bCs/>
              </w:rPr>
              <w:t xml:space="preserve">ServiceType</w:t>
            </w:r>
          </w:p>
        </w:tc>
        <w:tc>
          <w:tcPr>
            <w:tcW w:type="dxa" w:w="7160"/>
            <w:tcBorders>
              <w:top w:val="single" w:color="1A1F16" w:sz="12"/>
              <w:left w:val="nil"/>
              <w:bottom w:val="single" w:color="1A1F16" w:sz="12"/>
              <w:right w:val="nil"/>
            </w:tcBorders>
          </w:tcPr>
          <w:p>
            <w:r>
              <w:t xml:space="preserve">id, name, description, standard_hours, category, base_price, is_active</w:t>
            </w:r>
          </w:p>
        </w:tc>
      </w:tr>
      <w:tr>
        <w:tc>
          <w:tcPr>
            <w:tcW w:type="dxa" w:w="2200"/>
            <w:tcBorders>
              <w:top w:val="single" w:color="1A1F16" w:sz="12"/>
              <w:left w:val="nil"/>
              <w:bottom w:val="single" w:color="1A1F16" w:sz="12"/>
              <w:right w:val="nil"/>
            </w:tcBorders>
          </w:tcPr>
          <w:p>
            <w:r>
              <w:rPr>
                <w:b/>
                <w:bCs/>
              </w:rPr>
              <w:t xml:space="preserve">User</w:t>
            </w:r>
          </w:p>
        </w:tc>
        <w:tc>
          <w:tcPr>
            <w:tcW w:type="dxa" w:w="7160"/>
            <w:tcBorders>
              <w:top w:val="single" w:color="1A1F16" w:sz="12"/>
              <w:left w:val="nil"/>
              <w:bottom w:val="single" w:color="1A1F16" w:sz="12"/>
              <w:right w:val="nil"/>
            </w:tcBorders>
          </w:tcPr>
          <w:p>
            <w:r>
              <w:t xml:space="preserve">id, username, password_hash, full_name, role (admin/manager/technician/cashier), is_active, last_login</w:t>
            </w:r>
          </w:p>
        </w:tc>
      </w:tr>
    </w:tbl>
    <w:p>
      <w:pPr>
        <w:spacing w:before="100" w:after="300"/>
        <w:jc w:val="center"/>
      </w:pPr>
      <w:r>
        <w:rPr>
          <w:i/>
          <w:iCs/>
          <w:color w:val="4A5548"/>
          <w:sz w:val="18"/>
          <w:szCs w:val="18"/>
        </w:rPr>
        <w:t xml:space="preserve">Table 1: Core Data Entities</w:t>
      </w:r>
    </w:p>
    <w:p>
      <w:pPr>
        <w:pStyle w:val="Heading2"/>
      </w:pPr>
      <w:r>
        <w:t xml:space="preserve">4.1 Entity Relationships</w:t>
      </w:r>
    </w:p>
    <w:p>
      <w:pPr>
        <w:spacing w:after="200"/>
      </w:pPr>
      <w:r>
        <w:t xml:space="preserve">Understanding how entities relate to each other is crucial for implementing the database schema and business logic correctly. Below are the key relationships that drive the system's data flow:</w:t>
      </w:r>
    </w:p>
    <w:p>
      <w:pPr>
        <w:pStyle w:val="ListParagraph"/>
        <w:numPr>
          <w:ilvl w:val="0"/>
          <w:numId w:val="2"/>
        </w:numPr>
      </w:pPr>
      <w:r>
        <w:rPr>
          <w:b/>
          <w:bCs/>
        </w:rPr>
        <w:t xml:space="preserve">Customer → Vehicle: </w:t>
      </w:r>
      <w:r>
        <w:t xml:space="preserve">One-to-Many. A customer can own multiple vehicles, but each vehicle belongs to one customer.</w:t>
      </w:r>
    </w:p>
    <w:p>
      <w:pPr>
        <w:pStyle w:val="ListParagraph"/>
        <w:numPr>
          <w:ilvl w:val="0"/>
          <w:numId w:val="2"/>
        </w:numPr>
      </w:pPr>
      <w:r>
        <w:rPr>
          <w:b/>
          <w:bCs/>
        </w:rPr>
        <w:t xml:space="preserve">Customer → ServiceOrder: </w:t>
      </w:r>
      <w:r>
        <w:t xml:space="preserve">One-to-Many. A customer can have multiple service orders over time.</w:t>
      </w:r>
    </w:p>
    <w:p>
      <w:pPr>
        <w:pStyle w:val="ListParagraph"/>
        <w:numPr>
          <w:ilvl w:val="0"/>
          <w:numId w:val="2"/>
        </w:numPr>
      </w:pPr>
      <w:r>
        <w:rPr>
          <w:b/>
          <w:bCs/>
        </w:rPr>
        <w:t xml:space="preserve">Vehicle → ServiceOrder: </w:t>
      </w:r>
      <w:r>
        <w:t xml:space="preserve">One-to-Many. A vehicle can have multiple service orders throughout its lifetime.</w:t>
      </w:r>
    </w:p>
    <w:p>
      <w:pPr>
        <w:pStyle w:val="ListParagraph"/>
        <w:numPr>
          <w:ilvl w:val="0"/>
          <w:numId w:val="2"/>
        </w:numPr>
      </w:pPr>
      <w:r>
        <w:rPr>
          <w:b/>
          <w:bCs/>
        </w:rPr>
        <w:t xml:space="preserve">ServiceOrder → ServiceItem: </w:t>
      </w:r>
      <w:r>
        <w:t xml:space="preserve">One-to-Many. An order can include multiple service items (different types of work).</w:t>
      </w:r>
    </w:p>
    <w:p>
      <w:pPr>
        <w:pStyle w:val="ListParagraph"/>
        <w:numPr>
          <w:ilvl w:val="0"/>
          <w:numId w:val="2"/>
        </w:numPr>
      </w:pPr>
      <w:r>
        <w:rPr>
          <w:b/>
          <w:bCs/>
        </w:rPr>
        <w:t xml:space="preserve">ServiceOrder → OrderPart: </w:t>
      </w:r>
      <w:r>
        <w:t xml:space="preserve">One-to-Many. An order can use multiple parts from inventory.</w:t>
      </w:r>
    </w:p>
    <w:p>
      <w:pPr>
        <w:pStyle w:val="ListParagraph"/>
        <w:numPr>
          <w:ilvl w:val="0"/>
          <w:numId w:val="2"/>
        </w:numPr>
      </w:pPr>
      <w:r>
        <w:rPr>
          <w:b/>
          <w:bCs/>
        </w:rPr>
        <w:t xml:space="preserve">Part → OrderPart: </w:t>
      </w:r>
      <w:r>
        <w:t xml:space="preserve">One-to-Many. A part can be used in multiple orders over time.</w:t>
      </w:r>
    </w:p>
    <w:p>
      <w:pPr>
        <w:pStyle w:val="ListParagraph"/>
        <w:numPr>
          <w:ilvl w:val="0"/>
          <w:numId w:val="2"/>
        </w:numPr>
      </w:pPr>
      <w:r>
        <w:rPr>
          <w:b/>
          <w:bCs/>
        </w:rPr>
        <w:t xml:space="preserve">ServiceOrder → Invoice: </w:t>
      </w:r>
      <w:r>
        <w:t xml:space="preserve">One-to-One (typically). Each completed service order generates one invoice.</w:t>
      </w:r>
    </w:p>
    <w:p>
      <w:pPr>
        <w:pStyle w:val="ListParagraph"/>
        <w:numPr>
          <w:ilvl w:val="0"/>
          <w:numId w:val="2"/>
        </w:numPr>
      </w:pPr>
      <w:r>
        <w:rPr>
          <w:b/>
          <w:bCs/>
        </w:rPr>
        <w:t xml:space="preserve">Invoice → Payment: </w:t>
      </w:r>
      <w:r>
        <w:t xml:space="preserve">One-to-Many. An invoice can have multiple partial payments.</w:t>
      </w:r>
    </w:p>
    <w:p>
      <w:pPr>
        <w:pStyle w:val="Heading1"/>
      </w:pPr>
      <w:r>
        <w:t xml:space="preserve">5. Streamlit Implementation Strategy</w:t>
      </w:r>
    </w:p>
    <w:p>
      <w:pPr>
        <w:spacing w:after="200"/>
      </w:pPr>
      <w:r>
        <w:t xml:space="preserve">Streamlit has inherent limitations compared to traditional web frameworks, but with strategic use of its features and third-party components, we can create a professional, functional application. This section outlines the approach to maximize Streamlit's potential.</w:t>
      </w:r>
    </w:p>
    <w:p>
      <w:pPr>
        <w:pStyle w:val="Heading2"/>
      </w:pPr>
      <w:r>
        <w:t xml:space="preserve">5.1 Page Structure &amp; Navigation</w:t>
      </w:r>
    </w:p>
    <w:p>
      <w:pPr>
        <w:spacing w:after="200"/>
      </w:pPr>
      <w:r>
        <w:t xml:space="preserve">Streamlit's native multipage app structure will be used, with each module as a separate page file. Navigation will be handled via the sidebar using streamlit-option-menu for a professional sidebar navigation experience similar to SaaS dashboards.</w:t>
      </w:r>
    </w:p>
    <w:p>
      <w:pPr>
        <w:spacing w:after="100"/>
      </w:pPr>
      <w:r>
        <w:rPr>
          <w:b/>
          <w:bCs/>
        </w:rPr>
        <w:t xml:space="preserve">Recommended Structure:</w:t>
      </w:r>
    </w:p>
    <w:p>
      <w:pPr>
        <w:pStyle w:val="ListParagraph"/>
        <w:numPr>
          <w:ilvl w:val="0"/>
          <w:numId w:val="4"/>
        </w:numPr>
      </w:pPr>
      <w:r>
        <w:rPr>
          <w:b/>
          <w:bCs/>
        </w:rPr>
        <w:t xml:space="preserve">Home/Dashboard: </w:t>
      </w:r>
      <w:r>
        <w:t xml:space="preserve">Overview metrics, quick actions, recent activities</w:t>
      </w:r>
    </w:p>
    <w:p>
      <w:pPr>
        <w:pStyle w:val="ListParagraph"/>
        <w:numPr>
          <w:ilvl w:val="0"/>
          <w:numId w:val="4"/>
        </w:numPr>
      </w:pPr>
      <w:r>
        <w:rPr>
          <w:b/>
          <w:bCs/>
        </w:rPr>
        <w:t xml:space="preserve">Customers: </w:t>
      </w:r>
      <w:r>
        <w:t xml:space="preserve">Customer list, add/edit forms, search functionality</w:t>
      </w:r>
    </w:p>
    <w:p>
      <w:pPr>
        <w:pStyle w:val="ListParagraph"/>
        <w:numPr>
          <w:ilvl w:val="0"/>
          <w:numId w:val="4"/>
        </w:numPr>
      </w:pPr>
      <w:r>
        <w:rPr>
          <w:b/>
          <w:bCs/>
        </w:rPr>
        <w:t xml:space="preserve">Vehicles: </w:t>
      </w:r>
      <w:r>
        <w:t xml:space="preserve">Vehicle management linked to customers</w:t>
      </w:r>
    </w:p>
    <w:p>
      <w:pPr>
        <w:pStyle w:val="ListParagraph"/>
        <w:numPr>
          <w:ilvl w:val="0"/>
          <w:numId w:val="4"/>
        </w:numPr>
      </w:pPr>
      <w:r>
        <w:rPr>
          <w:b/>
          <w:bCs/>
        </w:rPr>
        <w:t xml:space="preserve">Service Orders: </w:t>
      </w:r>
      <w:r>
        <w:t xml:space="preserve">Job card management, status tracking</w:t>
      </w:r>
    </w:p>
    <w:p>
      <w:pPr>
        <w:pStyle w:val="ListParagraph"/>
        <w:numPr>
          <w:ilvl w:val="0"/>
          <w:numId w:val="4"/>
        </w:numPr>
      </w:pPr>
      <w:r>
        <w:rPr>
          <w:b/>
          <w:bCs/>
        </w:rPr>
        <w:t xml:space="preserve">Inventory: </w:t>
      </w:r>
      <w:r>
        <w:t xml:space="preserve">Parts catalog, stock management</w:t>
      </w:r>
    </w:p>
    <w:p>
      <w:pPr>
        <w:pStyle w:val="ListParagraph"/>
        <w:numPr>
          <w:ilvl w:val="0"/>
          <w:numId w:val="4"/>
        </w:numPr>
      </w:pPr>
      <w:r>
        <w:rPr>
          <w:b/>
          <w:bCs/>
        </w:rPr>
        <w:t xml:space="preserve">POS: </w:t>
      </w:r>
      <w:r>
        <w:t xml:space="preserve">Quick sale interface</w:t>
      </w:r>
    </w:p>
    <w:p>
      <w:pPr>
        <w:pStyle w:val="ListParagraph"/>
        <w:numPr>
          <w:ilvl w:val="0"/>
          <w:numId w:val="4"/>
        </w:numPr>
      </w:pPr>
      <w:r>
        <w:rPr>
          <w:b/>
          <w:bCs/>
        </w:rPr>
        <w:t xml:space="preserve">Invoices: </w:t>
      </w:r>
      <w:r>
        <w:t xml:space="preserve">Invoice generation and payment tracking</w:t>
      </w:r>
    </w:p>
    <w:p>
      <w:pPr>
        <w:pStyle w:val="ListParagraph"/>
        <w:numPr>
          <w:ilvl w:val="0"/>
          <w:numId w:val="4"/>
        </w:numPr>
      </w:pPr>
      <w:r>
        <w:rPr>
          <w:b/>
          <w:bCs/>
        </w:rPr>
        <w:t xml:space="preserve">Reports: </w:t>
      </w:r>
      <w:r>
        <w:t xml:space="preserve">Business analytics and reporting</w:t>
      </w:r>
    </w:p>
    <w:p>
      <w:pPr>
        <w:pStyle w:val="Heading2"/>
      </w:pPr>
      <w:r>
        <w:t xml:space="preserve">5.2 Session State Management</w:t>
      </w:r>
    </w:p>
    <w:p>
      <w:pPr>
        <w:spacing w:after="200"/>
      </w:pPr>
      <w:r>
        <w:t xml:space="preserve">Streamlit reruns the entire script on each interaction, so st.session_state is critical for maintaining state between reruns. All temporary data (selected customer, current cart items, form inputs) must be stored in session state. The database connection should also be managed via session state or a connection pool to avoid reconnecting on every interaction.</w:t>
      </w:r>
    </w:p>
    <w:p>
      <w:pPr>
        <w:pStyle w:val="Heading2"/>
      </w:pPr>
      <w:r>
        <w:t xml:space="preserve">5.3 Authentication Approach</w:t>
      </w:r>
    </w:p>
    <w:p>
      <w:pPr>
        <w:spacing w:after="200"/>
      </w:pPr>
      <w:r>
        <w:t xml:space="preserve">Since Streamlit doesn't have built-in authentication, we will use streamlit-authenticator library. It provides username/password login, session management, and role-based access control. User credentials are stored in the PostgreSQL database (not in config files), and the authentication state is maintained in session state.</w:t>
      </w:r>
    </w:p>
    <w:p>
      <w:pPr>
        <w:pStyle w:val="Heading2"/>
      </w:pPr>
      <w:r>
        <w:t xml:space="preserve">5.4 Data Display &amp; Interaction</w:t>
      </w:r>
    </w:p>
    <w:p>
      <w:pPr>
        <w:spacing w:after="200"/>
      </w:pPr>
      <w:r>
        <w:t xml:space="preserve">For data tables, st.data_editor (native) or streamlit-aggrid (third-party) will be used. AgGrid provides advanced features like sorting, filtering, inline editing, and custom cell renderers that make the application feel more professional. For forms, st.form with st.text_input, st.selectbox, and other input widgets will be used with proper validation.</w:t>
      </w:r>
    </w:p>
    <w:p>
      <w:pPr>
        <w:pStyle w:val="Heading2"/>
      </w:pPr>
      <w:r>
        <w:t xml:space="preserve">5.5 Styling &amp; Branding</w:t>
      </w:r>
    </w:p>
    <w:p>
      <w:pPr>
        <w:spacing w:after="200"/>
      </w:pPr>
      <w:r>
        <w:t xml:space="preserve">Custom CSS can be injected via st.markdown with unsafe_allow_html=True. This allows branding customization (colors, fonts, spacing) beyond Streamlit's defaults. The application header, sidebar styling, and component appearances will be customized to match the provided brand guidelines while maintaining Streamlit's core functionality.</w:t>
      </w:r>
    </w:p>
    <w:p>
      <w:pPr>
        <w:pStyle w:val="Heading1"/>
      </w:pPr>
      <w:r>
        <w:t xml:space="preserve">6. Recommended Libraries &amp; Components</w:t>
      </w:r>
    </w:p>
    <w:p>
      <w:pPr>
        <w:spacing w:after="200"/>
      </w:pPr>
      <w:r>
        <w:t xml:space="preserve">The following libraries are essential for bridging the gap between Streamlit's capabilities and the requirements of a professional business application. All libraries are stable, well-maintained, and have proven compatibility with Streamlit.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600"/>
        <w:gridCol w:w="2600"/>
        <w:gridCol w:w="4160"/>
      </w:tblGrid>
      <w:tr>
        <w:trPr>
          <w:tblHeader/>
        </w:trPr>
        <w:tc>
          <w:tcPr>
            <w:tcW w:type="dxa" w:w="2600"/>
            <w:tcBorders>
              <w:top w:val="single" w:color="1A1F16" w:sz="12"/>
              <w:left w:val="single" w:color="1A1F16" w:sz="12"/>
              <w:bottom w:val="single" w:color="1A1F16" w:sz="12"/>
              <w:right w:val="single" w:color="1A1F16" w:sz="12"/>
            </w:tcBorders>
            <w:shd w:fill="E8EDE6" w:val="clear"/>
            <w:vAlign w:val="center"/>
          </w:tcPr>
          <w:p>
            <w:pPr>
              <w:jc w:val="center"/>
            </w:pPr>
            <w:r>
              <w:rPr>
                <w:b/>
                <w:bCs/>
                <w:sz w:val="22"/>
                <w:szCs w:val="22"/>
              </w:rPr>
              <w:t xml:space="preserve">Library</w:t>
            </w:r>
          </w:p>
        </w:tc>
        <w:tc>
          <w:tcPr>
            <w:tcW w:type="dxa" w:w="2600"/>
            <w:tcBorders>
              <w:top w:val="single" w:color="1A1F16" w:sz="12"/>
              <w:left w:val="single" w:color="1A1F16" w:sz="12"/>
              <w:bottom w:val="single" w:color="1A1F16" w:sz="12"/>
              <w:right w:val="single" w:color="1A1F16" w:sz="12"/>
            </w:tcBorders>
            <w:shd w:fill="E8EDE6" w:val="clear"/>
            <w:vAlign w:val="center"/>
          </w:tcPr>
          <w:p>
            <w:pPr>
              <w:jc w:val="center"/>
            </w:pPr>
            <w:r>
              <w:rPr>
                <w:b/>
                <w:bCs/>
                <w:sz w:val="22"/>
                <w:szCs w:val="22"/>
              </w:rPr>
              <w:t xml:space="preserve">Purpose</w:t>
            </w:r>
          </w:p>
        </w:tc>
        <w:tc>
          <w:tcPr>
            <w:tcW w:type="dxa" w:w="4160"/>
            <w:tcBorders>
              <w:top w:val="single" w:color="1A1F16" w:sz="12"/>
              <w:left w:val="single" w:color="1A1F16" w:sz="12"/>
              <w:bottom w:val="single" w:color="1A1F16" w:sz="12"/>
              <w:right w:val="single" w:color="1A1F16" w:sz="12"/>
            </w:tcBorders>
            <w:shd w:fill="E8EDE6" w:val="clear"/>
            <w:vAlign w:val="center"/>
          </w:tcPr>
          <w:p>
            <w:pPr>
              <w:jc w:val="center"/>
            </w:pPr>
            <w:r>
              <w:rPr>
                <w:b/>
                <w:bCs/>
                <w:sz w:val="22"/>
                <w:szCs w:val="22"/>
              </w:rPr>
              <w:t xml:space="preserve">Key Features Used</w:t>
            </w:r>
          </w:p>
        </w:tc>
      </w:tr>
      <w:tr>
        <w:tc>
          <w:tcPr>
            <w:tcW w:type="dxa" w:w="2600"/>
            <w:tcBorders>
              <w:top w:val="single" w:color="1A1F16" w:sz="12"/>
              <w:left w:val="nil"/>
              <w:bottom w:val="single" w:color="1A1F16" w:sz="12"/>
              <w:right w:val="nil"/>
            </w:tcBorders>
          </w:tcPr>
          <w:p>
            <w:r>
              <w:t xml:space="preserve">psycopg2 / psycopg2-binary</w:t>
            </w:r>
          </w:p>
        </w:tc>
        <w:tc>
          <w:tcPr>
            <w:tcW w:type="dxa" w:w="2600"/>
            <w:tcBorders>
              <w:top w:val="single" w:color="1A1F16" w:sz="12"/>
              <w:left w:val="nil"/>
              <w:bottom w:val="single" w:color="1A1F16" w:sz="12"/>
              <w:right w:val="nil"/>
            </w:tcBorders>
          </w:tcPr>
          <w:p>
            <w:r>
              <w:t xml:space="preserve">PostgreSQL Connection</w:t>
            </w:r>
          </w:p>
        </w:tc>
        <w:tc>
          <w:tcPr>
            <w:tcW w:type="dxa" w:w="4160"/>
            <w:tcBorders>
              <w:top w:val="single" w:color="1A1F16" w:sz="12"/>
              <w:left w:val="nil"/>
              <w:bottom w:val="single" w:color="1A1F16" w:sz="12"/>
              <w:right w:val="nil"/>
            </w:tcBorders>
          </w:tcPr>
          <w:p>
            <w:r>
              <w:t xml:space="preserve">Database connection, query execution, transaction management</w:t>
            </w:r>
          </w:p>
        </w:tc>
      </w:tr>
      <w:tr>
        <w:tc>
          <w:tcPr>
            <w:tcW w:type="dxa" w:w="2600"/>
            <w:tcBorders>
              <w:top w:val="single" w:color="1A1F16" w:sz="12"/>
              <w:left w:val="nil"/>
              <w:bottom w:val="single" w:color="1A1F16" w:sz="12"/>
              <w:right w:val="nil"/>
            </w:tcBorders>
          </w:tcPr>
          <w:p>
            <w:r>
              <w:t xml:space="preserve">SQLAlchemy</w:t>
            </w:r>
          </w:p>
        </w:tc>
        <w:tc>
          <w:tcPr>
            <w:tcW w:type="dxa" w:w="2600"/>
            <w:tcBorders>
              <w:top w:val="single" w:color="1A1F16" w:sz="12"/>
              <w:left w:val="nil"/>
              <w:bottom w:val="single" w:color="1A1F16" w:sz="12"/>
              <w:right w:val="nil"/>
            </w:tcBorders>
          </w:tcPr>
          <w:p>
            <w:r>
              <w:t xml:space="preserve">ORM Layer</w:t>
            </w:r>
          </w:p>
        </w:tc>
        <w:tc>
          <w:tcPr>
            <w:tcW w:type="dxa" w:w="4160"/>
            <w:tcBorders>
              <w:top w:val="single" w:color="1A1F16" w:sz="12"/>
              <w:left w:val="nil"/>
              <w:bottom w:val="single" w:color="1A1F16" w:sz="12"/>
              <w:right w:val="nil"/>
            </w:tcBorders>
          </w:tcPr>
          <w:p>
            <w:r>
              <w:t xml:space="preserve">Model definitions, relationship management, query building</w:t>
            </w:r>
          </w:p>
        </w:tc>
      </w:tr>
      <w:tr>
        <w:tc>
          <w:tcPr>
            <w:tcW w:type="dxa" w:w="2600"/>
            <w:tcBorders>
              <w:top w:val="single" w:color="1A1F16" w:sz="12"/>
              <w:left w:val="nil"/>
              <w:bottom w:val="single" w:color="1A1F16" w:sz="12"/>
              <w:right w:val="nil"/>
            </w:tcBorders>
          </w:tcPr>
          <w:p>
            <w:r>
              <w:t xml:space="preserve">streamlit-authenticator</w:t>
            </w:r>
          </w:p>
        </w:tc>
        <w:tc>
          <w:tcPr>
            <w:tcW w:type="dxa" w:w="2600"/>
            <w:tcBorders>
              <w:top w:val="single" w:color="1A1F16" w:sz="12"/>
              <w:left w:val="nil"/>
              <w:bottom w:val="single" w:color="1A1F16" w:sz="12"/>
              <w:right w:val="nil"/>
            </w:tcBorders>
          </w:tcPr>
          <w:p>
            <w:r>
              <w:t xml:space="preserve">User Authentication</w:t>
            </w:r>
          </w:p>
        </w:tc>
        <w:tc>
          <w:tcPr>
            <w:tcW w:type="dxa" w:w="4160"/>
            <w:tcBorders>
              <w:top w:val="single" w:color="1A1F16" w:sz="12"/>
              <w:left w:val="nil"/>
              <w:bottom w:val="single" w:color="1A1F16" w:sz="12"/>
              <w:right w:val="nil"/>
            </w:tcBorders>
          </w:tcPr>
          <w:p>
            <w:r>
              <w:t xml:space="preserve">Login/logout, password hashing, session management</w:t>
            </w:r>
          </w:p>
        </w:tc>
      </w:tr>
      <w:tr>
        <w:tc>
          <w:tcPr>
            <w:tcW w:type="dxa" w:w="2600"/>
            <w:tcBorders>
              <w:top w:val="single" w:color="1A1F16" w:sz="12"/>
              <w:left w:val="nil"/>
              <w:bottom w:val="single" w:color="1A1F16" w:sz="12"/>
              <w:right w:val="nil"/>
            </w:tcBorders>
          </w:tcPr>
          <w:p>
            <w:r>
              <w:t xml:space="preserve">streamlit-option-menu</w:t>
            </w:r>
          </w:p>
        </w:tc>
        <w:tc>
          <w:tcPr>
            <w:tcW w:type="dxa" w:w="2600"/>
            <w:tcBorders>
              <w:top w:val="single" w:color="1A1F16" w:sz="12"/>
              <w:left w:val="nil"/>
              <w:bottom w:val="single" w:color="1A1F16" w:sz="12"/>
              <w:right w:val="nil"/>
            </w:tcBorders>
          </w:tcPr>
          <w:p>
            <w:r>
              <w:t xml:space="preserve">Navigation Menu</w:t>
            </w:r>
          </w:p>
        </w:tc>
        <w:tc>
          <w:tcPr>
            <w:tcW w:type="dxa" w:w="4160"/>
            <w:tcBorders>
              <w:top w:val="single" w:color="1A1F16" w:sz="12"/>
              <w:left w:val="nil"/>
              <w:bottom w:val="single" w:color="1A1F16" w:sz="12"/>
              <w:right w:val="nil"/>
            </w:tcBorders>
          </w:tcPr>
          <w:p>
            <w:r>
              <w:t xml:space="preserve">Professional sidebar navigation with icons</w:t>
            </w:r>
          </w:p>
        </w:tc>
      </w:tr>
      <w:tr>
        <w:tc>
          <w:tcPr>
            <w:tcW w:type="dxa" w:w="2600"/>
            <w:tcBorders>
              <w:top w:val="single" w:color="1A1F16" w:sz="12"/>
              <w:left w:val="nil"/>
              <w:bottom w:val="single" w:color="1A1F16" w:sz="12"/>
              <w:right w:val="nil"/>
            </w:tcBorders>
          </w:tcPr>
          <w:p>
            <w:r>
              <w:t xml:space="preserve">streamlit-aggrid</w:t>
            </w:r>
          </w:p>
        </w:tc>
        <w:tc>
          <w:tcPr>
            <w:tcW w:type="dxa" w:w="2600"/>
            <w:tcBorders>
              <w:top w:val="single" w:color="1A1F16" w:sz="12"/>
              <w:left w:val="nil"/>
              <w:bottom w:val="single" w:color="1A1F16" w:sz="12"/>
              <w:right w:val="nil"/>
            </w:tcBorders>
          </w:tcPr>
          <w:p>
            <w:r>
              <w:t xml:space="preserve">Advanced Data Tables</w:t>
            </w:r>
          </w:p>
        </w:tc>
        <w:tc>
          <w:tcPr>
            <w:tcW w:type="dxa" w:w="4160"/>
            <w:tcBorders>
              <w:top w:val="single" w:color="1A1F16" w:sz="12"/>
              <w:left w:val="nil"/>
              <w:bottom w:val="single" w:color="1A1F16" w:sz="12"/>
              <w:right w:val="nil"/>
            </w:tcBorders>
          </w:tcPr>
          <w:p>
            <w:r>
              <w:t xml:space="preserve">Sorting, filtering, inline editing, pagination</w:t>
            </w:r>
          </w:p>
        </w:tc>
      </w:tr>
      <w:tr>
        <w:tc>
          <w:tcPr>
            <w:tcW w:type="dxa" w:w="2600"/>
            <w:tcBorders>
              <w:top w:val="single" w:color="1A1F16" w:sz="12"/>
              <w:left w:val="nil"/>
              <w:bottom w:val="single" w:color="1A1F16" w:sz="12"/>
              <w:right w:val="nil"/>
            </w:tcBorders>
          </w:tcPr>
          <w:p>
            <w:r>
              <w:t xml:space="preserve">plotly</w:t>
            </w:r>
          </w:p>
        </w:tc>
        <w:tc>
          <w:tcPr>
            <w:tcW w:type="dxa" w:w="2600"/>
            <w:tcBorders>
              <w:top w:val="single" w:color="1A1F16" w:sz="12"/>
              <w:left w:val="nil"/>
              <w:bottom w:val="single" w:color="1A1F16" w:sz="12"/>
              <w:right w:val="nil"/>
            </w:tcBorders>
          </w:tcPr>
          <w:p>
            <w:r>
              <w:t xml:space="preserve">Charts &amp; Visualization</w:t>
            </w:r>
          </w:p>
        </w:tc>
        <w:tc>
          <w:tcPr>
            <w:tcW w:type="dxa" w:w="4160"/>
            <w:tcBorders>
              <w:top w:val="single" w:color="1A1F16" w:sz="12"/>
              <w:left w:val="nil"/>
              <w:bottom w:val="single" w:color="1A1F16" w:sz="12"/>
              <w:right w:val="nil"/>
            </w:tcBorders>
          </w:tcPr>
          <w:p>
            <w:r>
              <w:t xml:space="preserve">Interactive charts for reports and dashboards</w:t>
            </w:r>
          </w:p>
        </w:tc>
      </w:tr>
      <w:tr>
        <w:tc>
          <w:tcPr>
            <w:tcW w:type="dxa" w:w="2600"/>
            <w:tcBorders>
              <w:top w:val="single" w:color="1A1F16" w:sz="12"/>
              <w:left w:val="nil"/>
              <w:bottom w:val="single" w:color="1A1F16" w:sz="12"/>
              <w:right w:val="nil"/>
            </w:tcBorders>
          </w:tcPr>
          <w:p>
            <w:r>
              <w:t xml:space="preserve">pandas</w:t>
            </w:r>
          </w:p>
        </w:tc>
        <w:tc>
          <w:tcPr>
            <w:tcW w:type="dxa" w:w="2600"/>
            <w:tcBorders>
              <w:top w:val="single" w:color="1A1F16" w:sz="12"/>
              <w:left w:val="nil"/>
              <w:bottom w:val="single" w:color="1A1F16" w:sz="12"/>
              <w:right w:val="nil"/>
            </w:tcBorders>
          </w:tcPr>
          <w:p>
            <w:r>
              <w:t xml:space="preserve">Data Manipulation</w:t>
            </w:r>
          </w:p>
        </w:tc>
        <w:tc>
          <w:tcPr>
            <w:tcW w:type="dxa" w:w="4160"/>
            <w:tcBorders>
              <w:top w:val="single" w:color="1A1F16" w:sz="12"/>
              <w:left w:val="nil"/>
              <w:bottom w:val="single" w:color="1A1F16" w:sz="12"/>
              <w:right w:val="nil"/>
            </w:tcBorders>
          </w:tcPr>
          <w:p>
            <w:r>
              <w:t xml:space="preserve">DataFrames for table display, data transformation</w:t>
            </w:r>
          </w:p>
        </w:tc>
      </w:tr>
      <w:tr>
        <w:tc>
          <w:tcPr>
            <w:tcW w:type="dxa" w:w="2600"/>
            <w:tcBorders>
              <w:top w:val="single" w:color="1A1F16" w:sz="12"/>
              <w:left w:val="nil"/>
              <w:bottom w:val="single" w:color="1A1F16" w:sz="12"/>
              <w:right w:val="nil"/>
            </w:tcBorders>
          </w:tcPr>
          <w:p>
            <w:r>
              <w:t xml:space="preserve">reportlab / weasyprint</w:t>
            </w:r>
          </w:p>
        </w:tc>
        <w:tc>
          <w:tcPr>
            <w:tcW w:type="dxa" w:w="2600"/>
            <w:tcBorders>
              <w:top w:val="single" w:color="1A1F16" w:sz="12"/>
              <w:left w:val="nil"/>
              <w:bottom w:val="single" w:color="1A1F16" w:sz="12"/>
              <w:right w:val="nil"/>
            </w:tcBorders>
          </w:tcPr>
          <w:p>
            <w:r>
              <w:t xml:space="preserve">PDF Generation</w:t>
            </w:r>
          </w:p>
        </w:tc>
        <w:tc>
          <w:tcPr>
            <w:tcW w:type="dxa" w:w="4160"/>
            <w:tcBorders>
              <w:top w:val="single" w:color="1A1F16" w:sz="12"/>
              <w:left w:val="nil"/>
              <w:bottom w:val="single" w:color="1A1F16" w:sz="12"/>
              <w:right w:val="nil"/>
            </w:tcBorders>
          </w:tcPr>
          <w:p>
            <w:r>
              <w:t xml:space="preserve">Invoice/receipt PDF generation for printing</w:t>
            </w:r>
          </w:p>
        </w:tc>
      </w:tr>
      <w:tr>
        <w:tc>
          <w:tcPr>
            <w:tcW w:type="dxa" w:w="2600"/>
            <w:tcBorders>
              <w:top w:val="single" w:color="1A1F16" w:sz="12"/>
              <w:left w:val="nil"/>
              <w:bottom w:val="single" w:color="1A1F16" w:sz="12"/>
              <w:right w:val="nil"/>
            </w:tcBorders>
          </w:tcPr>
          <w:p>
            <w:r>
              <w:t xml:space="preserve">python-dotenv</w:t>
            </w:r>
          </w:p>
        </w:tc>
        <w:tc>
          <w:tcPr>
            <w:tcW w:type="dxa" w:w="2600"/>
            <w:tcBorders>
              <w:top w:val="single" w:color="1A1F16" w:sz="12"/>
              <w:left w:val="nil"/>
              <w:bottom w:val="single" w:color="1A1F16" w:sz="12"/>
              <w:right w:val="nil"/>
            </w:tcBorders>
          </w:tcPr>
          <w:p>
            <w:r>
              <w:t xml:space="preserve">Configuration</w:t>
            </w:r>
          </w:p>
        </w:tc>
        <w:tc>
          <w:tcPr>
            <w:tcW w:type="dxa" w:w="4160"/>
            <w:tcBorders>
              <w:top w:val="single" w:color="1A1F16" w:sz="12"/>
              <w:left w:val="nil"/>
              <w:bottom w:val="single" w:color="1A1F16" w:sz="12"/>
              <w:right w:val="nil"/>
            </w:tcBorders>
          </w:tcPr>
          <w:p>
            <w:r>
              <w:t xml:space="preserve">Environment variables for database credentials, secrets</w:t>
            </w:r>
          </w:p>
        </w:tc>
      </w:tr>
    </w:tbl>
    <w:p>
      <w:pPr>
        <w:spacing w:before="100" w:after="300"/>
        <w:jc w:val="center"/>
      </w:pPr>
      <w:r>
        <w:rPr>
          <w:i/>
          <w:iCs/>
          <w:color w:val="4A5548"/>
          <w:sz w:val="18"/>
          <w:szCs w:val="18"/>
        </w:rPr>
        <w:t xml:space="preserve">Table 2: Recommended Python Libraries</w:t>
      </w:r>
    </w:p>
    <w:p>
      <w:pPr>
        <w:pStyle w:val="Heading1"/>
      </w:pPr>
      <w:r>
        <w:t xml:space="preserve">7. Design Principles for Maintainability</w:t>
      </w:r>
    </w:p>
    <w:p>
      <w:pPr>
        <w:spacing w:after="200"/>
      </w:pPr>
      <w:r>
        <w:t xml:space="preserve">To ensure the codebase is understandable and maintainable by future developers (including interns), the following principles will be strictly followed:</w:t>
      </w:r>
    </w:p>
    <w:p>
      <w:pPr>
        <w:pStyle w:val="ListParagraph"/>
        <w:numPr>
          <w:ilvl w:val="0"/>
          <w:numId w:val="5"/>
        </w:numPr>
        <w:spacing w:after="100"/>
      </w:pPr>
      <w:r>
        <w:rPr>
          <w:b/>
          <w:bCs/>
        </w:rPr>
        <w:t xml:space="preserve">Single Responsibility: </w:t>
      </w:r>
      <w:r>
        <w:t xml:space="preserve">Each Python file handles one module. Database operations, business logic, and UI code are separated into distinct layers.</w:t>
      </w:r>
    </w:p>
    <w:p>
      <w:pPr>
        <w:pStyle w:val="ListParagraph"/>
        <w:numPr>
          <w:ilvl w:val="0"/>
          <w:numId w:val="5"/>
        </w:numPr>
        <w:spacing w:after="100"/>
      </w:pPr>
      <w:r>
        <w:rPr>
          <w:b/>
          <w:bCs/>
        </w:rPr>
        <w:t xml:space="preserve">Consistent Naming: </w:t>
      </w:r>
      <w:r>
        <w:t xml:space="preserve">Variables, functions, and database columns use descriptive names. No abbreviations that aren't immediately obvious.</w:t>
      </w:r>
    </w:p>
    <w:p>
      <w:pPr>
        <w:pStyle w:val="ListParagraph"/>
        <w:numPr>
          <w:ilvl w:val="0"/>
          <w:numId w:val="5"/>
        </w:numPr>
        <w:spacing w:after="100"/>
      </w:pPr>
      <w:r>
        <w:rPr>
          <w:b/>
          <w:bCs/>
        </w:rPr>
        <w:t xml:space="preserve">Documentation: </w:t>
      </w:r>
      <w:r>
        <w:t xml:space="preserve">Docstrings for all functions, inline comments for complex logic. A README file explaining project setup.</w:t>
      </w:r>
    </w:p>
    <w:p>
      <w:pPr>
        <w:pStyle w:val="ListParagraph"/>
        <w:numPr>
          <w:ilvl w:val="0"/>
          <w:numId w:val="5"/>
        </w:numPr>
        <w:spacing w:after="100"/>
      </w:pPr>
      <w:r>
        <w:rPr>
          <w:b/>
          <w:bCs/>
        </w:rPr>
        <w:t xml:space="preserve">Error Handling: </w:t>
      </w:r>
      <w:r>
        <w:t xml:space="preserve">Try-except blocks with meaningful error messages displayed to users via st.error() or st.warning().</w:t>
      </w:r>
    </w:p>
    <w:p>
      <w:pPr>
        <w:pStyle w:val="ListParagraph"/>
        <w:numPr>
          <w:ilvl w:val="0"/>
          <w:numId w:val="5"/>
        </w:numPr>
        <w:spacing w:after="100"/>
      </w:pPr>
      <w:r>
        <w:rPr>
          <w:b/>
          <w:bCs/>
        </w:rPr>
        <w:t xml:space="preserve">Database Transactions: </w:t>
      </w:r>
      <w:r>
        <w:t xml:space="preserve">All database modifications wrapped in transactions with rollback on failure.</w:t>
      </w:r>
    </w:p>
    <w:p>
      <w:pPr>
        <w:pStyle w:val="ListParagraph"/>
        <w:numPr>
          <w:ilvl w:val="0"/>
          <w:numId w:val="5"/>
        </w:numPr>
        <w:spacing w:after="100"/>
      </w:pPr>
      <w:r>
        <w:rPr>
          <w:b/>
          <w:bCs/>
        </w:rPr>
        <w:t xml:space="preserve">Configuration Externalization: </w:t>
      </w:r>
      <w:r>
        <w:t xml:space="preserve">Database credentials, tax rates, and other settings stored in .env file, not hardcoded.</w:t>
      </w:r>
    </w:p>
    <w:p>
      <w:pPr>
        <w:pStyle w:val="ListParagraph"/>
        <w:numPr>
          <w:ilvl w:val="0"/>
          <w:numId w:val="5"/>
        </w:numPr>
        <w:spacing w:after="100"/>
      </w:pPr>
      <w:r>
        <w:rPr>
          <w:b/>
          <w:bCs/>
        </w:rPr>
        <w:t xml:space="preserve">Logging: </w:t>
      </w:r>
      <w:r>
        <w:t xml:space="preserve">Application events, errors, and important transactions logged to files for debugging and audit purposes.</w:t>
      </w:r>
    </w:p>
    <w:p>
      <w:pPr>
        <w:pStyle w:val="Heading1"/>
      </w:pPr>
      <w:r>
        <w:t xml:space="preserve">8. Validation Required</w:t>
      </w:r>
    </w:p>
    <w:p>
      <w:pPr>
        <w:spacing w:after="200"/>
      </w:pPr>
      <w:r>
        <w:t xml:space="preserve">Before proceeding to implementation, please validate the following aspects of this business logic design:</w:t>
      </w:r>
    </w:p>
    <w:p>
      <w:pPr>
        <w:pStyle w:val="ListParagraph"/>
        <w:numPr>
          <w:ilvl w:val="0"/>
          <w:numId w:val="2"/>
        </w:numPr>
      </w:pPr>
      <w:r>
        <w:rPr>
          <w:b/>
          <w:bCs/>
        </w:rPr>
        <w:t xml:space="preserve">Module Coverage: </w:t>
      </w:r>
      <w:r>
        <w:t xml:space="preserve">Are the seven modules sufficient for the intended business operations? Any missing functionality?</w:t>
      </w:r>
    </w:p>
    <w:p>
      <w:pPr>
        <w:pStyle w:val="ListParagraph"/>
        <w:numPr>
          <w:ilvl w:val="0"/>
          <w:numId w:val="2"/>
        </w:numPr>
      </w:pPr>
      <w:r>
        <w:rPr>
          <w:b/>
          <w:bCs/>
        </w:rPr>
        <w:t xml:space="preserve">Data Structure: </w:t>
      </w:r>
      <w:r>
        <w:t xml:space="preserve">Do the entities and attributes capture all necessary information? Any fields to add or remove?</w:t>
      </w:r>
    </w:p>
    <w:p>
      <w:pPr>
        <w:pStyle w:val="ListParagraph"/>
        <w:numPr>
          <w:ilvl w:val="0"/>
          <w:numId w:val="2"/>
        </w:numPr>
      </w:pPr>
      <w:r>
        <w:rPr>
          <w:b/>
          <w:bCs/>
        </w:rPr>
        <w:t xml:space="preserve">Workflow Alignment: </w:t>
      </w:r>
      <w:r>
        <w:t xml:space="preserve">Does the service order status workflow match actual business processes?</w:t>
      </w:r>
    </w:p>
    <w:p>
      <w:pPr>
        <w:pStyle w:val="ListParagraph"/>
        <w:numPr>
          <w:ilvl w:val="0"/>
          <w:numId w:val="2"/>
        </w:numPr>
      </w:pPr>
      <w:r>
        <w:rPr>
          <w:b/>
          <w:bCs/>
        </w:rPr>
        <w:t xml:space="preserve">Technical Constraints: </w:t>
      </w:r>
      <w:r>
        <w:t xml:space="preserve">Any additional technical limitations or preferences not yet discussed?</w:t>
      </w:r>
    </w:p>
    <w:p>
      <w:pPr>
        <w:pStyle w:val="ListParagraph"/>
        <w:numPr>
          <w:ilvl w:val="0"/>
          <w:numId w:val="2"/>
        </w:numPr>
      </w:pPr>
      <w:r>
        <w:rPr>
          <w:b/>
          <w:bCs/>
        </w:rPr>
        <w:t xml:space="preserve">Branding Requirements: </w:t>
      </w:r>
      <w:r>
        <w:t xml:space="preserve">Please share specific brand guidelines (colors, logo, typography) for styling implementation.</w:t>
      </w:r>
    </w:p>
    <w:p>
      <w:pPr>
        <w:spacing w:before="200" w:after="200"/>
      </w:pPr>
      <w:r>
        <w:t xml:space="preserve">Once validated, we can proceed to the next phase: Database schema implementation, Python code architecture, and Streamlit frontend development.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48"/>
        <w:sz w:val="18"/>
        <w:szCs w:val="18"/>
      </w:rPr>
      <w:t xml:space="preserve">Car Service Management &amp; POS System - Business Logic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1A1F16"/>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A1F16"/>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4A5548"/>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2026-02-12T16:55:37.985Z</dcterms:created>
  <dcterms:modified xsi:type="dcterms:W3CDTF">2026-02-12T16:55:37.985Z</dcterms:modified>
</cp:coreProperties>
</file>

<file path=docProps/custom.xml><?xml version="1.0" encoding="utf-8"?>
<Properties xmlns="http://schemas.openxmlformats.org/officeDocument/2006/custom-properties" xmlns:vt="http://schemas.openxmlformats.org/officeDocument/2006/docPropsVTypes"/>
</file>