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sz w:val="40"/>
          <w:szCs w:val="40"/>
        </w:rPr>
        <w:t xml:space="preserve">Predicting Property Price Category Using Machine Learning</w:t>
      </w:r>
    </w:p>
    <w:p>
      <w:pPr>
        <w:spacing w:after="400" w:before="200"/>
        <w:jc w:val="center"/>
      </w:pPr>
      <w:r>
        <w:rPr>
          <w:i/>
          <w:iCs/>
          <w:color w:val="555555"/>
          <w:sz w:val="26"/>
          <w:szCs w:val="26"/>
        </w:rPr>
        <w:t xml:space="preserve">A Comparative Evaluation of Classical and Deep Learning Classifiers</w:t>
      </w:r>
    </w:p>
    <w:p>
      <w:pPr>
        <w:spacing w:before="800"/>
        <w:jc w:val="center"/>
      </w:pPr>
      <w:r>
        <w:rPr>
          <w:sz w:val="24"/>
          <w:szCs w:val="24"/>
        </w:rPr>
        <w:t xml:space="preserve">CSE422 — Artificial Intelligence</w:t>
      </w:r>
    </w:p>
    <w:p>
      <w:pPr>
        <w:spacing w:before="100"/>
        <w:jc w:val="center"/>
      </w:pPr>
      <w:r>
        <w:rPr>
          <w:sz w:val="24"/>
          <w:szCs w:val="24"/>
        </w:rPr>
        <w:t xml:space="preserve">BRAC University</w:t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Md. Tanvirul Islam Rifat</w:t>
      </w:r>
    </w:p>
    <w:p>
      <w:pPr>
        <w:spacing w:before="60"/>
        <w:jc w:val="center"/>
      </w:pPr>
      <w:r>
        <w:rPr>
          <w:sz w:val="22"/>
          <w:szCs w:val="22"/>
        </w:rPr>
        <w:t xml:space="preserve">Student ID: 22101311</w:t>
      </w:r>
    </w:p>
    <w:p>
      <w:pPr>
        <w:spacing w:before="60"/>
        <w:jc w:val="center"/>
      </w:pPr>
      <w:r>
        <w:rPr>
          <w:sz w:val="22"/>
          <w:szCs w:val="22"/>
        </w:rPr>
        <w:t xml:space="preserve">GitHub: tanvirul-islam-rifat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60"/>
      </w:pPr>
      <w:r>
        <w:t xml:space="preserve">This report documents an end-to-end supervised machine learning pipeline built to classify residential flats (apartments) into three price categories — Low, Medium, and High — using twelve structural and locational features. The pipeline covers exploratory data analysis, missing-value and outlier handling, feature encoding and scaling, and a comparative evaluation of six models: Decision Tree, K-Nearest Neighbors, Gaussian Naive Bayes, Random Forest, XGBoost, and a fully connected neural network.</w:t>
      </w:r>
    </w:p>
    <w:p>
      <w:pPr>
        <w:spacing w:after="160"/>
      </w:pPr>
      <w:r>
        <w:t xml:space="preserve">The central finding is not a high-performing model, but a well-supported negative result: every model tested, across two very different model families (tree/distance/probabilistic classical ML and a multi-layer neural network), converges to the same performance ceiling of roughly 32-38% accuracy on a balanced three-class problem, i.e. only marginally above the 33.3% random-guessing baseline. Correlation analysis and per-feature boxplots independently support the same conclusion: the available features carry very little signal about the assigned price category in this dataset. This report treats that as a legitimate, reportable outcome rather than a failure, and discusses what it implies about the dataset and about model selection in low-signal settings.</w:t>
      </w:r>
    </w:p>
    <w:p>
      <w:pPr>
        <w:pStyle w:val="Heading1"/>
        <w:spacing w:after="200" w:before="400"/>
      </w:pPr>
      <w:r>
        <w:t xml:space="preserve">2. Problem Statement</w:t>
      </w:r>
    </w:p>
    <w:p>
      <w:pPr>
        <w:spacing w:after="160"/>
      </w:pPr>
      <w:r>
        <w:t xml:space="preserve">Real-estate platforms commonly need to auto-tag new listings with a price bracket (e.g. Low / Medium / High) for search filters, recommendation ranking, or fraud/anomaly flags (a listing priced far outside its predicted bracket may warrant review) before a final price is confirmed by an agent. This project frames that as a supervised, multi-class classification problem: given structural attributes of a flat (size, bedrooms, bathrooms, floor, age) and locational attributes (location tier, distance to city center, nearby schools, security level, parking, balcony), predict the pre-assigned Price_Category label.</w:t>
      </w:r>
    </w:p>
    <w:p>
      <w:pPr>
        <w:spacing w:after="160"/>
      </w:pPr>
      <w:r>
        <w:t xml:space="preserve">The task is deliberately treated as model comparison under real-world data conditions — substantial missingness, mixed categorical/numerical features, and no guarantee that the features chosen are actually predictive — rather than as a curated, guaranteed-to-work textbook dataset.</w:t>
      </w:r>
    </w:p>
    <w:p>
      <w:pPr>
        <w:pStyle w:val="Heading1"/>
        <w:spacing w:after="200" w:before="400"/>
      </w:pPr>
      <w:r>
        <w:t xml:space="preserve">3. Dataset Description</w:t>
      </w:r>
    </w:p>
    <w:p>
      <w:pPr>
        <w:spacing w:after="160"/>
      </w:pPr>
      <w:r>
        <w:t xml:space="preserve">The dataset contains 1,200 flat records and 12 columns (11 features plus the target label), loaded from a CSV file.</w:t>
      </w:r>
    </w:p>
    <w:p>
      <w:pPr>
        <w:pStyle w:val="Heading2"/>
        <w:spacing w:after="150" w:before="300"/>
      </w:pPr>
      <w:r>
        <w:t xml:space="preserve">3.1 Feature Schema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000"/>
      </w:tblGrid>
      <w:tr>
        <w:trPr>
          <w:tblHeader/>
        </w:trPr>
        <w:tc>
          <w:tcPr>
            <w:tcW w:type="dxa" w:w="2600"/>
            <w:shd w:fill="4C72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shd w:fill="4C72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4C72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City Center / Suburbs / Countryside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Size_sqft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Floor area in square feet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Num_Bedrooms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Bedroom count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Num_Bathrooms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Bathroom count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Has_Balcony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Binary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Floor_Number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Floor the unit is 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Building_Age_Years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Age of the building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Parking_Available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Binary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Nearby_Schools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Few / Many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Distance_to_CityCenter_km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Distance in kilometers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Security_Level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 / Medium / High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Price_Category (target)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 / Medium / High</w:t>
            </w:r>
          </w:p>
        </w:tc>
      </w:tr>
    </w:tbl>
    <w:p>
      <w:pPr>
        <w:pStyle w:val="Heading2"/>
        <w:spacing w:after="150" w:before="300"/>
      </w:pPr>
      <w:r>
        <w:t xml:space="preserve">3.2 Class Balance</w:t>
      </w:r>
    </w:p>
    <w:p>
      <w:pPr>
        <w:spacing w:after="160"/>
      </w:pPr>
      <w:r>
        <w:t xml:space="preserve">The target label is close to perfectly balanced across its three classes, which rules out class imbalance as an explanation for the modeling results discussed later: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</w:tblGrid>
      <w:tr>
        <w:trPr>
          <w:tblHeader/>
        </w:trPr>
        <w:tc>
          <w:tcPr>
            <w:tcW w:type="dxa" w:w="3000"/>
            <w:shd w:fill="4C72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000"/>
            <w:shd w:fill="4C72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200"/>
            <w:shd w:fill="4C72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34.4%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402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33.5%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32.1%</w:t>
            </w:r>
          </w:p>
        </w:tc>
      </w:tr>
    </w:tbl>
    <w:p>
      <w:pPr>
        <w:pStyle w:val="Heading1"/>
        <w:spacing w:after="200" w:before="400"/>
      </w:pPr>
      <w:r>
        <w:t xml:space="preserve">4. Exploratory Data Analysis</w:t>
      </w:r>
    </w:p>
    <w:p>
      <w:pPr>
        <w:pStyle w:val="Heading2"/>
        <w:spacing w:after="150" w:before="300"/>
      </w:pPr>
      <w:r>
        <w:t xml:space="preserve">4.1 Missing Data</w:t>
      </w:r>
    </w:p>
    <w:p>
      <w:pPr>
        <w:spacing w:after="160"/>
      </w:pPr>
      <w:r>
        <w:t xml:space="preserve">Every feature column except the target had a substantial fraction of missing values (roughly 8%-12% of rows per column), while the target itself had none: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900"/>
        <w:gridCol w:w="2200"/>
      </w:tblGrid>
      <w:tr>
        <w:trPr>
          <w:tblHeader/>
        </w:trPr>
        <w:tc>
          <w:tcPr>
            <w:tcW w:type="dxa" w:w="2600"/>
            <w:shd w:fill="4C72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4C72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2900"/>
            <w:shd w:fill="4C72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4C72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140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Parking_Available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Size_sqft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106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Nearby_Schools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124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Num_Bedrooms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136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Distance_to_CityCenter_km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103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Num_Bathrooms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143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Security_Level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Has_Balcony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121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Price_Category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Floor_Number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132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Building_Age_Years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127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t xml:space="preserve">4.2 Outlier Screening</w:t>
      </w:r>
    </w:p>
    <w:p>
      <w:pPr>
        <w:spacing w:after="160"/>
      </w:pPr>
      <w:r>
        <w:t xml:space="preserve">A column-wise Z-score check (threshold |z| &gt; 3.0) was run across all numeric features. It found zero outliers in every column, so no rows were removed on outlier grounds.</w:t>
      </w:r>
    </w:p>
    <w:p>
      <w:pPr>
        <w:pStyle w:val="Heading2"/>
        <w:spacing w:after="150" w:before="300"/>
      </w:pPr>
      <w:r>
        <w:t xml:space="preserve">4.3 Feature Correlation</w:t>
      </w:r>
    </w:p>
    <w:p>
      <w:pPr>
        <w:spacing w:after="200" w:before="200"/>
        <w:jc w:val="center"/>
      </w:pPr>
      <w:r>
        <w:drawing>
          <wp:inline distT="0" distB="0" distL="0" distR="0">
            <wp:extent cx="447675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1. Pearson correlation heatmap across numeric features. All pairwise correlations are weak, and none of the numeric features correlates meaningfully with the encoded target.</w:t>
      </w:r>
    </w:p>
    <w:p>
      <w:pPr>
        <w:pStyle w:val="Heading2"/>
        <w:spacing w:after="150" w:before="300"/>
      </w:pPr>
      <w:r>
        <w:t xml:space="preserve">4.4 Class Distribution</w:t>
      </w:r>
    </w:p>
    <w:p>
      <w:pPr>
        <w:spacing w:after="200" w:before="200"/>
        <w:jc w:val="center"/>
      </w:pPr>
      <w:r>
        <w:drawing>
          <wp:inline distT="0" distB="0" distL="0" distR="0">
            <wp:extent cx="3810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2. Price_Category is balanced across Low, Medium, and High.</w:t>
      </w:r>
    </w:p>
    <w:p>
      <w:pPr>
        <w:spacing w:after="160"/>
      </w:pPr>
      <w:r>
        <w:t xml:space="preserve">Per-feature boxplots of each numeric variable against Price_Category (generated in the accompanying notebook) showed no strong visual separation between classes for any single feature; Num_Bathrooms showed a very slight positive association with price category, but not one strong enough to be discriminative alone. Combined with the correlation heatmap, this was the first indication that this would be a low-signal classification problem.</w:t>
      </w:r>
    </w:p>
    <w:p>
      <w:pPr>
        <w:pStyle w:val="Heading1"/>
        <w:spacing w:after="200" w:before="400"/>
      </w:pPr>
      <w:r>
        <w:t xml:space="preserve">5. Data Preprocessing and Feature Engineering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Deduplication: </w:t>
      </w:r>
      <w:r>
        <w:t xml:space="preserve">Checked for and removed exact duplicate rows (none were found; row count remained 1,200).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Numeric imputation: </w:t>
      </w:r>
      <w:r>
        <w:t xml:space="preserve">Numeric columns (Size_sqft, Num_Bedrooms, Floor_Number, Num_Bathrooms, Building_Age_Years, Distance_to_CityCenter_km) had missing values imputed with the column mean.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Categorical imputation: </w:t>
      </w:r>
      <w:r>
        <w:t xml:space="preserve">Categorical columns (Location, Has_Balcony, Parking_Available, Nearby_Schools, Security_Level) had missing values imputed with the column mode.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Multi-class encoding: </w:t>
      </w:r>
      <w:r>
        <w:t xml:space="preserve">Location, Nearby_Schools, Security_Level, and the target Price_Category were label-encoded (scikit-learn LabelEncoder) for use with tree- and distance-based models.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Binary encoding: </w:t>
      </w:r>
      <w:r>
        <w:t xml:space="preserve">Has_Balcony and Parking_Available were mapped Yes→1, No→0.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Train/test split: </w:t>
      </w:r>
      <w:r>
        <w:t xml:space="preserve">70/30 train/test split, stratified on Price_Category, random_state=42, to preserve class balance in both splits.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Scaling: </w:t>
      </w:r>
      <w:r>
        <w:t xml:space="preserve">MinMaxScaler fit on the training set and applied to both splits, feeding the classical models scaled features in [0, 1].</w:t>
      </w:r>
    </w:p>
    <w:p>
      <w:pPr>
        <w:pStyle w:val="Heading1"/>
        <w:spacing w:after="200" w:before="400"/>
      </w:pPr>
      <w:r>
        <w:t xml:space="preserve">6. Modeling Methodology</w:t>
      </w:r>
    </w:p>
    <w:p>
      <w:pPr>
        <w:spacing w:after="160"/>
      </w:pPr>
      <w:r>
        <w:t xml:space="preserve">Six models spanning four different learning paradigms were trained on the identical preprocessed train/test split, so that results are directly comparable: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Model 1 — </w:t>
      </w:r>
      <w:r>
        <w:t xml:space="preserve">Decision Tree Classifier (scikit-learn, default hyperparameters, random_state=42).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Model 2 — </w:t>
      </w:r>
      <w:r>
        <w:t xml:space="preserve">K-Nearest Neighbors Classifier (k = 5).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Model 3 — </w:t>
      </w:r>
      <w:r>
        <w:t xml:space="preserve">Gaussian Naive Bayes.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Model 4 — </w:t>
      </w:r>
      <w:r>
        <w:t xml:space="preserve">Random Forest Classifier (default hyperparameters, random_state=42).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Model 5 — </w:t>
      </w:r>
      <w:r>
        <w:t xml:space="preserve">XGBoost Classifier (log-loss objective, random_state=42).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Model 6 — </w:t>
      </w:r>
      <w:r>
        <w:t xml:space="preserve">A Keras Sequential neural network: Dense(64, ReLU) → Dropout(0.5) → Dense(32, ReLU) → Dropout(0.3) → Dense(3, softmax); Adam optimizer, sparse categorical cross-entropy, 100 epochs, batch size 32.</w:t>
      </w:r>
    </w:p>
    <w:p>
      <w:pPr>
        <w:spacing w:after="160"/>
      </w:pPr>
      <w:r>
        <w:t xml:space="preserve">For the five classical models, each was evaluated on the held-out test set using Accuracy, macro-averaged Precision, Recall, and F1-score (macro averaging was used deliberately, since the classes are balanced but treating them asymmetrically would hide weak per-class performance), and multiclass ROC-AUC using the one-vs-rest scheme. The neural network was evaluated with test accuracy and a train/validation loss curve, following a slightly different workflow in the source notebook.</w:t>
      </w:r>
    </w:p>
    <w:p>
      <w:pPr>
        <w:pStyle w:val="Heading1"/>
        <w:spacing w:after="200" w:before="400"/>
      </w:pPr>
      <w:r>
        <w:t xml:space="preserve">7. Results</w:t>
      </w:r>
    </w:p>
    <w:p>
      <w:pPr>
        <w:pStyle w:val="Heading2"/>
        <w:spacing w:after="150" w:before="300"/>
      </w:pPr>
      <w:r>
        <w:t xml:space="preserve">7.1 Classical Model Comparison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1400"/>
        <w:gridCol w:w="1400"/>
        <w:gridCol w:w="1400"/>
        <w:gridCol w:w="1500"/>
      </w:tblGrid>
      <w:tr>
        <w:trPr>
          <w:tblHeader/>
        </w:trPr>
        <w:tc>
          <w:tcPr>
            <w:tcW w:type="dxa" w:w="2700"/>
            <w:shd w:fill="4C72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shd w:fill="4C72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400"/>
            <w:shd w:fill="4C72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400"/>
            <w:shd w:fill="4C72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400"/>
            <w:shd w:fill="4C72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500"/>
            <w:shd w:fill="4C72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0.3833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0.3841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0.3831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0.3831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0.5375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0.3611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0.3597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0.3600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0.3598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0.5209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Naive Bayes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0.3500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0.3453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0.3478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0.3452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0.4957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0.3444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0.3442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0.3436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0.3439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0.5019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KNN (k=5)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0.3167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0.3152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0.3196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0.3068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0.4684</w:t>
            </w:r>
          </w:p>
        </w:tc>
      </w:tr>
    </w:tbl>
    <w:p>
      <w:pPr>
        <w:spacing w:after="160"/>
      </w:pPr>
      <w:r>
        <w:t xml:space="preserve">Decision Tree posted the highest macro F1-score (0.3831), narrowly ahead of XGBoost. All five ROC-AUC values sit close to 0.50 (the value expected from random class discrimination), with Decision Tree the only model to move meaningfully away from it (0.5375).</w:t>
      </w:r>
    </w:p>
    <w:p>
      <w:pPr>
        <w:pStyle w:val="Heading2"/>
        <w:spacing w:after="150" w:before="300"/>
      </w:pPr>
      <w:r>
        <w:t xml:space="preserve">7.2 Confusion Matrices — Classical Models</w:t>
      </w:r>
    </w:p>
    <w:p>
      <w:pPr>
        <w:spacing w:after="200" w:before="200"/>
        <w:jc w:val="center"/>
      </w:pPr>
      <w:r>
        <w:drawing>
          <wp:inline distT="0" distB="0" distL="0" distR="0">
            <wp:extent cx="2857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3. Confusion matrix — Decision Tree.</w:t>
      </w:r>
    </w:p>
    <w:p>
      <w:pPr>
        <w:spacing w:after="200" w:before="200"/>
        <w:jc w:val="center"/>
      </w:pPr>
      <w:r>
        <w:drawing>
          <wp:inline distT="0" distB="0" distL="0" distR="0">
            <wp:extent cx="2857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4. Confusion matrix — XGBoost.</w:t>
      </w:r>
    </w:p>
    <w:p>
      <w:pPr>
        <w:spacing w:after="200" w:before="200"/>
        <w:jc w:val="center"/>
      </w:pPr>
      <w:r>
        <w:drawing>
          <wp:inline distT="0" distB="0" distL="0" distR="0">
            <wp:extent cx="2857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5. Confusion matrix — Gaussian Naive Bayes.</w:t>
      </w:r>
    </w:p>
    <w:p>
      <w:pPr>
        <w:spacing w:after="200" w:before="200"/>
        <w:jc w:val="center"/>
      </w:pPr>
      <w:r>
        <w:drawing>
          <wp:inline distT="0" distB="0" distL="0" distR="0">
            <wp:extent cx="2857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6. Confusion matrix — Random Forest.</w:t>
      </w:r>
    </w:p>
    <w:p>
      <w:pPr>
        <w:spacing w:after="200" w:before="200"/>
        <w:jc w:val="center"/>
      </w:pPr>
      <w:r>
        <w:drawing>
          <wp:inline distT="0" distB="0" distL="0" distR="0">
            <wp:extent cx="2857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7. Confusion matrix — K-Nearest Neighbors.</w:t>
      </w:r>
    </w:p>
    <w:p>
      <w:pPr>
        <w:spacing w:after="160"/>
      </w:pPr>
      <w:r>
        <w:t xml:space="preserve">Across all five models, misclassifications are spread broadly across all three classes rather than concentrated in one confusable pair — the signature of a model that has not learned a strong decision boundary, as opposed to one confusing only two adjacent categories (e.g. Medium vs. High).</w:t>
      </w:r>
    </w:p>
    <w:p>
      <w:pPr>
        <w:pStyle w:val="Heading2"/>
        <w:spacing w:after="150" w:before="300"/>
      </w:pPr>
      <w:r>
        <w:t xml:space="preserve">7.3 Model Ranking by F1-Score</w:t>
      </w:r>
    </w:p>
    <w:p>
      <w:pPr>
        <w:spacing w:after="200" w:before="200"/>
        <w:jc w:val="center"/>
      </w:pPr>
      <w:r>
        <w:drawing>
          <wp:inline distT="0" distB="0" distL="0" distR="0">
            <wp:extent cx="44767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8. Macro F1-score ranking across all five classical models.</w:t>
      </w:r>
    </w:p>
    <w:p>
      <w:pPr>
        <w:pStyle w:val="Heading2"/>
        <w:spacing w:after="150" w:before="300"/>
      </w:pPr>
      <w:r>
        <w:t xml:space="preserve">7.4 Neural Network</w:t>
      </w:r>
    </w:p>
    <w:p>
      <w:pPr>
        <w:spacing w:after="160"/>
      </w:pPr>
      <w:r>
        <w:t xml:space="preserve">The neural network was trained for 100 epochs. Training loss fell sharply within the first ~10 epochs while validation accuracy plateaued almost immediately around 32-36%, and training loss continued to fall far below validation loss in later epochs — a classic overfitting signature in which the network memorizes patterns in the training split that do not generalize, rather than learning a transferable relationship between features and price category.</w:t>
      </w:r>
    </w:p>
    <w:p>
      <w:pPr>
        <w:spacing w:after="200" w:before="200"/>
        <w:jc w:val="center"/>
      </w:pPr>
      <w:r>
        <w:drawing>
          <wp:inline distT="0" distB="0" distL="0" distR="0">
            <wp:extent cx="3810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9. Training vs. validation loss over 100 epochs.</w:t>
      </w:r>
    </w:p>
    <w:p>
      <w:pPr>
        <w:spacing w:after="200" w:before="200"/>
        <w:jc w:val="center"/>
      </w:pPr>
      <w:r>
        <w:drawing>
          <wp:inline distT="0" distB="0" distL="0" distR="0">
            <wp:extent cx="36195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10. Neural network confusion matrix (row-normalized, %).</w:t>
      </w:r>
    </w:p>
    <w:p>
      <w:pPr>
        <w:spacing w:after="160"/>
      </w:pPr>
      <w:r>
        <w:t xml:space="preserve">Final test accuracy: 34.44% — within the same narrow band as every classical model, despite the network having far more capacity and being the only model to show clear overfitting.</w:t>
      </w:r>
    </w:p>
    <w:p>
      <w:pPr>
        <w:pStyle w:val="Heading1"/>
        <w:spacing w:after="200" w:before="400"/>
      </w:pPr>
      <w:r>
        <w:t xml:space="preserve">8. Discussion and Key Findings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Convergent low performance across model families: </w:t>
      </w:r>
      <w:r>
        <w:t xml:space="preserve">Every model, regardless of family — a single tree, an ensemble of trees, a distance-based method, a probabilistic model, a gradient-boosted ensemble, and a neural network — lands within a 6-point accuracy band (31.7%-38.3%), only just above the 33.3% baseline for a balanced 3-class problem. When six structurally different learners agree this closely, the bottleneck is very unlikely to be model choice.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EDA predicted this outcome: </w:t>
      </w:r>
      <w:r>
        <w:t xml:space="preserve">This matches the EDA in Section 4: the correlation heatmap showed weak numeric-feature correlations, and per-feature boxplots showed no visual separation between classes. The modeling stage did not discover a weak-but-present signal that EDA missed — it confirmed the absence flagged during EDA.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More model capacity did not help: </w:t>
      </w:r>
      <w:r>
        <w:t xml:space="preserve">The neural network is the only model that clearly overfits (falling training loss, flat validation performance), yet it does not outperform simpler models on held-out data. Extra model capacity cannot manufacture a signal that is not present in the underlying features.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Practical implication: </w:t>
      </w:r>
      <w:r>
        <w:t xml:space="preserve">Given a synthetic or heavily engineered feature set, it is plausible that Price_Category was assigned independently of the listed features (e.g. randomly, or from an unobserved variable not included in this dataset). Reporting a near-random ceiling honestly is more useful to a reader than presenting a marginal 38% accuracy as if it were a meaningful result.</w:t>
      </w:r>
    </w:p>
    <w:p>
      <w:pPr>
        <w:pStyle w:val="Heading1"/>
        <w:spacing w:after="200" w:before="400"/>
      </w:pPr>
      <w:r>
        <w:t xml:space="preserve">9. Limitations and Future Work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Hyperparameter search: </w:t>
      </w:r>
      <w:r>
        <w:t xml:space="preserve">No hyperparameter tuning (grid/random search) was performed for the classical models; default parameters were used throughout for a fair, apples-to-apples first comparison.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Imputation strategy: </w:t>
      </w:r>
      <w:r>
        <w:t xml:space="preserve">Mean/mode imputation was used for simplicity. Given ~10% missingness per column, a more sophisticated imputer (KNNImputer or MICE) could be tried, though it is unlikely to fix a signal problem at the feature level.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Feature availability: </w:t>
      </w:r>
      <w:r>
        <w:t xml:space="preserve">If further data collection were possible, engineered or interaction features (e.g. price-per-square-foot proxies, neighborhood-level aggregates) or additional real-world variables (amenities, renovation status, exact address-level location data) would be the highest-leverage next step, since the current features do not appear to separate the classes.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Baseline comparison: </w:t>
      </w:r>
      <w:r>
        <w:t xml:space="preserve">An explicit majority-class and stratified-random baseline was not computed programmatically in the notebook; it is included in this report analytically (33.3% for three balanced classes) and would be a natural first cell to add.</w:t>
      </w:r>
    </w:p>
    <w:p>
      <w:pPr>
        <w:pStyle w:val="Heading1"/>
        <w:spacing w:after="200" w:before="400"/>
      </w:pPr>
      <w:r>
        <w:t xml:space="preserve">10. Conclusion</w:t>
      </w:r>
    </w:p>
    <w:p>
      <w:pPr>
        <w:spacing w:after="160"/>
      </w:pPr>
      <w:r>
        <w:t xml:space="preserve">This project implemented a complete classification pipeline — EDA, missing-data and outlier handling, encoding, scaling, and a six-model comparison spanning classical machine learning and deep learning — to predict flat price category from structural and locational features. The headline result is that no model, however different its underlying approach, exceeded roughly 38% accuracy on a balanced three-class task, converging just above the 33.3% random baseline. Correlation analysis and boxplots independently support the same conclusion. The project's value lies in demonstrating a rigorous, multi-model evaluation methodology and in correctly recognizing and reporting a genuine low-signal result rather than overstating marginal gains.</w:t>
      </w:r>
    </w:p>
    <w:p>
      <w:pPr>
        <w:pStyle w:val="Heading1"/>
        <w:spacing w:after="200" w:before="400"/>
      </w:pPr>
      <w:r>
        <w:t xml:space="preserve">Appendix A — Environment and Reproducibility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Libraries: </w:t>
      </w:r>
      <w:r>
        <w:t xml:space="preserve">Python 3, pandas, numpy, scikit-learn, xgboost, tensorflow/keras, matplotlib, seaborn, scipy.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Split: </w:t>
      </w:r>
      <w:r>
        <w:t xml:space="preserve">70% train / 30% test, stratified split, random_state = 42 throughout for reproducibility.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Dataset size: </w:t>
      </w:r>
      <w:r>
        <w:t xml:space="preserve">1,200 rows, 12 columns, provided as flat_price_dataset.csv in this repository's data/ folder.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Full code: </w:t>
      </w:r>
      <w:r>
        <w:t xml:space="preserve">flat_price_classification.ipynb (this project's companion Jupyter notebook) contains the full, runnable code for every step described in this report.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e414b36b0e24dd3f7daa12a3e69fc6410c4dc0.png"/><Relationship Id="rId8" Type="http://schemas.openxmlformats.org/officeDocument/2006/relationships/image" Target="media/1ac25042005181cd1d53b3c30235122d597d70d3.png"/><Relationship Id="rId9" Type="http://schemas.openxmlformats.org/officeDocument/2006/relationships/image" Target="media/0430be1033d50f5592658bf06d3a43d3971e8ee2.png"/><Relationship Id="rId10" Type="http://schemas.openxmlformats.org/officeDocument/2006/relationships/image" Target="media/d3fa33b423fe8c1a7fac07bb24eab77ad87ae549.png"/><Relationship Id="rId11" Type="http://schemas.openxmlformats.org/officeDocument/2006/relationships/image" Target="media/83215bc6b93c2cd2b70038e2fe59f8905603675c.png"/><Relationship Id="rId12" Type="http://schemas.openxmlformats.org/officeDocument/2006/relationships/image" Target="media/2fb7e403952013bd9e16dfaab895ca34c769f423.png"/><Relationship Id="rId13" Type="http://schemas.openxmlformats.org/officeDocument/2006/relationships/image" Target="media/3bd2ceb617fe7877d34ab21d23b7cbce921ea608.png"/><Relationship Id="rId14" Type="http://schemas.openxmlformats.org/officeDocument/2006/relationships/image" Target="media/066c7a6ea960a25f135a36abaf69cd96315dddb4.png"/><Relationship Id="rId15" Type="http://schemas.openxmlformats.org/officeDocument/2006/relationships/image" Target="media/ee00814fa21621324ec85a19715b1cad81220594.png"/><Relationship Id="rId16" Type="http://schemas.openxmlformats.org/officeDocument/2006/relationships/image" Target="media/ccfe7ed7e97ca5284e130dcb3832815eff9b366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2026-07-22T09:42:26.217Z</dcterms:created>
  <dcterms:modified xsi:type="dcterms:W3CDTF">2026-07-22T09:42:26.228Z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