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SafeFrame AI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D7377"/>
          <w:sz w:val="26"/>
          <w:szCs w:val="26"/>
        </w:rPr>
        <w:t xml:space="preserve">Content Moderation System Using Sightengine API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Scalable Image and Video Moderation for Real-Time Platforms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Tanvi Saraswat  |  IMB360  |  2026</w:t>
      </w:r>
    </w:p>
    <w:p>
      <w:pPr>
        <w:pBdr>
          <w:bottom w:val="single" w:color="1B2A4A" w:sz="6"/>
        </w:pBdr>
        <w:spacing w:after="60" w:before="60"/>
      </w:pPr>
    </w:p>
    <w:p>
      <w:pPr>
        <w:spacing w:after="80" w:before="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1.  Introduction</w:t>
      </w:r>
    </w:p>
    <w:p>
      <w:pPr>
        <w:pBdr>
          <w:bottom w:val="single" w:color="1B2A4A" w:sz="6"/>
        </w:pBdr>
        <w:spacing w:after="60" w:before="60"/>
      </w:pPr>
    </w:p>
    <w:p>
      <w:pPr>
        <w:spacing w:after="80" w:before="0"/>
        <w:jc w:val="both"/>
      </w:pPr>
      <w:r>
        <w:rPr>
          <w:rFonts w:ascii="Calibri" w:cs="Calibri" w:eastAsia="Calibri" w:hAnsi="Calibri"/>
          <w:b w:val="false"/>
          <w:bCs w:val="false"/>
          <w:color w:val="1E1E2E"/>
          <w:sz w:val="18"/>
          <w:szCs w:val="18"/>
        </w:rPr>
        <w:t xml:space="preserve">AI-powered content moderation has become essential infrastructure for any platform that accepts user-generated images or video. Manual review is too slow and too costly to scale; rule-based filters produce high false-positive rates. SafeFrame AI addresses this by integrating Sightengine's production-grade REST API into a lightweight Flask backend, delivering sub-200 ms decisions on every uploaded asset.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b w:val="false"/>
          <w:bCs w:val="false"/>
          <w:color w:val="1E1E2E"/>
          <w:sz w:val="18"/>
          <w:szCs w:val="18"/>
        </w:rPr>
        <w:t xml:space="preserve">The system enforces five platform context profiles — Children, Standard, Journalism, Medical, and Enterprise — each with independently calibrated thresholds so that the same image may be permitted in a medical context while being blurred on a general-audience feed.</w:t>
      </w:r>
    </w:p>
    <w:p>
      <w:pPr>
        <w:spacing w:after="80" w:before="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2.  Sightengine API Overview</w:t>
      </w:r>
    </w:p>
    <w:p>
      <w:pPr>
        <w:pBdr>
          <w:bottom w:val="single" w:color="1B2A4A" w:sz="6"/>
        </w:pBdr>
        <w:spacing w:after="60" w:before="60"/>
      </w:pPr>
    </w:p>
    <w:p>
      <w:pPr>
        <w:spacing w:after="80" w:before="0"/>
        <w:jc w:val="both"/>
      </w:pPr>
      <w:r>
        <w:rPr>
          <w:rFonts w:ascii="Calibri" w:cs="Calibri" w:eastAsia="Calibri" w:hAnsi="Calibri"/>
          <w:b w:val="false"/>
          <w:bCs w:val="false"/>
          <w:color w:val="1E1E2E"/>
          <w:sz w:val="18"/>
          <w:szCs w:val="18"/>
        </w:rPr>
        <w:t xml:space="preserve">Sightengine provides a cloud-hosted vision API covering nudity, violence, gore, hate symbols, weapons, drugs, alcohol, and face detection in a single HTTP call. The service returns a structured JSON payload with per-category confidence scores and a unique request ID — all within one round trip.</w:t>
      </w:r>
    </w:p>
    <w:p>
      <w:pPr>
        <w:spacing w:after="40" w:before="0"/>
        <w:jc w:val="both"/>
      </w:pPr>
      <w:r>
        <w:rPr>
          <w:rFonts w:ascii="Calibri" w:cs="Calibri" w:eastAsia="Calibri" w:hAnsi="Calibri"/>
          <w:b/>
          <w:bCs/>
          <w:color w:val="1E1E2E"/>
          <w:sz w:val="18"/>
          <w:szCs w:val="18"/>
        </w:rPr>
        <w:t xml:space="preserve">Key technical facts: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E1E2E"/>
          <w:sz w:val="18"/>
          <w:szCs w:val="18"/>
        </w:rPr>
        <w:t xml:space="preserve">REST endpoint: https://api.sightengine.com/1.0/check.json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E1E2E"/>
          <w:sz w:val="18"/>
          <w:szCs w:val="18"/>
        </w:rPr>
        <w:t xml:space="preserve">Authentication: api_user + api_secret query parameters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E1E2E"/>
          <w:sz w:val="18"/>
          <w:szCs w:val="18"/>
        </w:rPr>
        <w:t xml:space="preserve">Accepted formats: JPEG, PNG, WebP, GIF, BMP (URL or multipart upload)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E1E2E"/>
          <w:sz w:val="18"/>
          <w:szCs w:val="18"/>
        </w:rPr>
        <w:t xml:space="preserve">Response time: 80–180 ms (p95 under standard load)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E1E2E"/>
          <w:sz w:val="18"/>
          <w:szCs w:val="18"/>
        </w:rPr>
        <w:t xml:space="preserve">SLA: 99.9% uptime with global CDN-backed inference nodes</w:t>
      </w:r>
    </w:p>
    <w:p>
      <w:pPr>
        <w:spacing w:after="80" w:before="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3.  System Pipeline</w:t>
      </w:r>
    </w:p>
    <w:p>
      <w:pPr>
        <w:pBdr>
          <w:bottom w:val="single" w:color="1B2A4A" w:sz="6"/>
        </w:pBdr>
        <w:spacing w:after="60" w:before="60"/>
      </w:pPr>
    </w:p>
    <w:p>
      <w:pPr>
        <w:spacing w:after="80" w:before="0"/>
        <w:jc w:val="both"/>
      </w:pPr>
      <w:r>
        <w:rPr>
          <w:rFonts w:ascii="Calibri" w:cs="Calibri" w:eastAsia="Calibri" w:hAnsi="Calibri"/>
          <w:b w:val="false"/>
          <w:bCs w:val="false"/>
          <w:color w:val="1E1E2E"/>
          <w:sz w:val="18"/>
          <w:szCs w:val="18"/>
        </w:rPr>
        <w:t xml:space="preserve">When a user uploads an image, the Flask backend applies a context profile, forwards the asset to Sightengine, parses the confidence scores against the profile thresholds, and returns a structured ModerationReport within a single request lifecycle.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3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Upload</w:t>
            </w:r>
          </w:p>
        </w:tc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EE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→</w:t>
            </w:r>
          </w:p>
        </w:tc>
        <w:tc>
          <w:tcPr>
            <w:tcW w:type="dxa" w:w="153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Context
Profile</w:t>
            </w:r>
          </w:p>
        </w:tc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EE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→</w:t>
            </w:r>
          </w:p>
        </w:tc>
        <w:tc>
          <w:tcPr>
            <w:tcW w:type="dxa" w:w="153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Sightengine
API</w:t>
            </w:r>
          </w:p>
        </w:tc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EE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→</w:t>
            </w:r>
          </w:p>
        </w:tc>
        <w:tc>
          <w:tcPr>
            <w:tcW w:type="dxa" w:w="1533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
Decision</w:t>
            </w:r>
          </w:p>
        </w:tc>
        <w:tc>
          <w:tcPr>
            <w:tcW w:type="dxa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EE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→</w:t>
            </w:r>
          </w:p>
        </w:tc>
        <w:tc>
          <w:tcPr>
            <w:tcW w:type="dxa" w:w="146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ALLOW /
BLOCK</w:t>
            </w:r>
          </w:p>
        </w:tc>
      </w:tr>
    </w:tbl>
    <w:p>
      <w:pPr>
        <w:spacing w:after="120" w:before="0"/>
      </w:pPr>
    </w:p>
    <w:p>
      <w:pPr>
        <w:spacing w:after="80" w:before="0"/>
        <w:jc w:val="both"/>
      </w:pPr>
      <w:r>
        <w:rPr>
          <w:rFonts w:ascii="Calibri" w:cs="Calibri" w:eastAsia="Calibri" w:hAnsi="Calibri"/>
          <w:b w:val="false"/>
          <w:bCs w:val="false"/>
          <w:color w:val="1E1E2E"/>
          <w:sz w:val="18"/>
          <w:szCs w:val="18"/>
        </w:rPr>
        <w:t xml:space="preserve">Outcomes are: ALLOW, BLUR_WARNING (sensitive but permissible), RESTRICT (logged and hidden), or BLOCK (hard reject). Each decision is persisted to a JSON audit log and surfaced in the real-time Admin Dashboard.</w:t>
      </w:r>
    </w:p>
    <w:p>
      <w:r>
        <w:br w:type="pag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4.  Cost Structure</w:t>
      </w:r>
    </w:p>
    <w:p>
      <w:pPr>
        <w:pBdr>
          <w:bottom w:val="single" w:color="1B2A4A" w:sz="6"/>
        </w:pBdr>
        <w:spacing w:after="60" w:before="60"/>
      </w:pPr>
    </w:p>
    <w:p>
      <w:pPr>
        <w:spacing w:after="80" w:before="0"/>
        <w:jc w:val="both"/>
      </w:pPr>
      <w:r>
        <w:rPr>
          <w:rFonts w:ascii="Calibri" w:cs="Calibri" w:eastAsia="Calibri" w:hAnsi="Calibri"/>
          <w:b w:val="false"/>
          <w:bCs w:val="false"/>
          <w:color w:val="1E1E2E"/>
          <w:sz w:val="18"/>
          <w:szCs w:val="18"/>
        </w:rPr>
        <w:t xml:space="preserve">Sightengine charges $0.002 (₹0.17) per image with no setup fees or minimums. All INR figures use ₹84 per USD.</w:t>
      </w:r>
    </w:p>
    <w:p>
      <w:pPr>
        <w:spacing w:after="80" w:before="0"/>
      </w:pP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Table 1 — Image Moderation Cost Breakdown (per image, volume &amp; annual)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Images / Month</w:t>
            </w:r>
          </w:p>
        </w:tc>
        <w:tc>
          <w:tcPr>
            <w:tcW w:type="dxa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Rate / Image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 (USD)</w:t>
            </w:r>
          </w:p>
        </w:tc>
        <w:tc>
          <w:tcPr>
            <w:tcW w:type="dxa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Monthly (INR)</w:t>
            </w:r>
          </w:p>
        </w:tc>
        <w:tc>
          <w:tcPr>
            <w:tcW w:type="dxa" w:w="175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Annual (USD)</w:t>
            </w:r>
          </w:p>
        </w:tc>
        <w:tc>
          <w:tcPr>
            <w:tcW w:type="dxa" w:w="175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Annual (INR)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1 image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$0.002 / ₹0.17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$0.002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₹0.17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$0.024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₹2.02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2 images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$0.002 / ₹0.17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$0.004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₹0.34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$0.048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₹4.03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1,000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$0.002 / ₹0.17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$2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₹168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$24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₹2,016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10,000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$0.002 / ₹0.17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$20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₹1,680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$240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₹20,160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100,000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$0.002 / ₹0.17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$200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₹16,800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$2,400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₹2,01,600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1,000,000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$0.002 / ₹0.17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$2,000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₹1,68,000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$24,000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₹20,16,000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5,000,000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$0.002 / ₹0.17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$10,000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₹8,40,000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$1,20,000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₹1,00,80,000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10,000,000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$0.002 / ₹0.17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$20,000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₹16,80,000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$2,40,000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₹2,01,60,000</w:t>
            </w:r>
          </w:p>
        </w:tc>
      </w:tr>
    </w:tbl>
    <w:p>
      <w:pPr>
        <w:spacing w:after="120" w:before="0"/>
      </w:pP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Table 2 — Video Moderation Cost (Frame-Based Billing at 1 fps)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b w:val="false"/>
          <w:bCs w:val="false"/>
          <w:color w:val="1E1E2E"/>
          <w:sz w:val="18"/>
          <w:szCs w:val="18"/>
        </w:rPr>
        <w:t xml:space="preserve">Video is billed per extracted frame at the same rate ($0.002 / ₹0.17 per frame).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Frames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Cost/Video (USD)</w:t>
            </w:r>
          </w:p>
        </w:tc>
        <w:tc>
          <w:tcPr>
            <w:tcW w:type="dxa" w:w="1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Cost/Video (INR)</w:t>
            </w:r>
          </w:p>
        </w:tc>
        <w:tc>
          <w:tcPr>
            <w:tcW w:type="dxa" w:w="205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100 Videos/Day (USD)</w:t>
            </w:r>
          </w:p>
        </w:tc>
        <w:tc>
          <w:tcPr>
            <w:tcW w:type="dxa" w:w="205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100 Videos/Day (INR)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10 sec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$0.02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₹1.68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$2.00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₹168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60 sec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$0.12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₹10.08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$12.00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₹1,008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5 min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300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$0.60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₹50.40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$60.00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₹5,040</w:t>
            </w:r>
          </w:p>
        </w:tc>
      </w:tr>
    </w:tbl>
    <w:p>
      <w:pPr>
        <w:spacing w:after="120" w:before="0"/>
      </w:pP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Real-World Use-Case Calculation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0D7377" w:sz="8"/>
              <w:left w:val="single" w:color="0D7377" w:sz="8"/>
              <w:bottom w:val="single" w:color="0D7377" w:sz="8"/>
              <w:right w:val="single" w:color="0D7377" w:sz="8"/>
            </w:tcBorders>
            <w:shd w:fill="E8EE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>10,000 users × 2 uploads/day × 30 days = 600,000 images/month  →  $1,200/month  (₹1,00,800/month)</w:t>
            </w:r>
          </w:p>
        </w:tc>
      </w:tr>
    </w:tbl>
    <w:p>
      <w:r>
        <w:br w:type="pag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5.  API Rate Limits &amp; Throughput</w:t>
      </w:r>
    </w:p>
    <w:p>
      <w:pPr>
        <w:pBdr>
          <w:bottom w:val="single" w:color="1B2A4A" w:sz="6"/>
        </w:pBdr>
        <w:spacing w:after="60" w:before="60"/>
      </w:pP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Table 3 — Sightengine Tier Comparison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8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 RPS</w:t>
            </w:r>
          </w:p>
        </w:tc>
        <w:tc>
          <w:tcPr>
            <w:tcW w:type="dxa" w:w="18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 RPM</w:t>
            </w:r>
          </w:p>
        </w:tc>
        <w:tc>
          <w:tcPr>
            <w:tcW w:type="dxa" w:w="18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Requests/Day</w:t>
            </w:r>
          </w:p>
        </w:tc>
        <w:tc>
          <w:tcPr>
            <w:tcW w:type="dxa" w:w="184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Fit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E2E"/>
                <w:sz w:val="18"/>
                <w:szCs w:val="18"/>
              </w:rPr>
              <w:t xml:space="preserve">Starter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1 RPS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60 RPM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86,400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MVPs / Pilots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E2E"/>
                <w:sz w:val="18"/>
                <w:szCs w:val="18"/>
              </w:rPr>
              <w:t xml:space="preserve">Pro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10 RPS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600 RPM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8,64,000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Growth platforms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E2E"/>
                <w:sz w:val="18"/>
                <w:szCs w:val="18"/>
              </w:rPr>
              <w:t xml:space="preserve">Enterprise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Custom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Custom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Unlimited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1E2E"/>
                <w:sz w:val="18"/>
                <w:szCs w:val="18"/>
              </w:rPr>
              <w:t xml:space="preserve">Large-scale ops</w:t>
            </w:r>
          </w:p>
        </w:tc>
      </w:tr>
    </w:tbl>
    <w:p>
      <w:pPr>
        <w:spacing w:after="120" w:before="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6.  Advantages</w:t>
      </w:r>
    </w:p>
    <w:p>
      <w:pPr>
        <w:pBdr>
          <w:bottom w:val="single" w:color="1B2A4A" w:sz="6"/>
        </w:pBdr>
        <w:spacing w:after="60" w:before="6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E1E2E"/>
          <w:sz w:val="18"/>
          <w:szCs w:val="18"/>
        </w:rPr>
        <w:t xml:space="preserve">Zero infrastructure overhead — no GPU servers, no model versioning, no retraining pipelines.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E1E2E"/>
          <w:sz w:val="18"/>
          <w:szCs w:val="18"/>
        </w:rPr>
        <w:t xml:space="preserve">Multi-modal coverage — nudity, violence, hate symbols, weapons, drugs, faces in one API call.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E1E2E"/>
          <w:sz w:val="18"/>
          <w:szCs w:val="18"/>
        </w:rPr>
        <w:t xml:space="preserve">Context-aware thresholds — five built-in platform profiles ensure precision without manual tuning.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E1E2E"/>
          <w:sz w:val="18"/>
          <w:szCs w:val="18"/>
        </w:rPr>
        <w:t xml:space="preserve">Audit-ready logging — every decision persisted with confidence scores, timestamp, and image ID.</w:t>
      </w:r>
    </w:p>
    <w:p>
      <w:pPr>
        <w:spacing w:after="120" w:before="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7.  Limitations</w:t>
      </w:r>
    </w:p>
    <w:p>
      <w:pPr>
        <w:pBdr>
          <w:bottom w:val="single" w:color="1B2A4A" w:sz="6"/>
        </w:pBdr>
        <w:spacing w:after="60" w:before="6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E1E2E"/>
          <w:sz w:val="18"/>
          <w:szCs w:val="18"/>
        </w:rPr>
        <w:t xml:space="preserve">Vendor dependency — Sightengine outages directly affect moderation availability.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E1E2E"/>
          <w:sz w:val="18"/>
          <w:szCs w:val="18"/>
        </w:rPr>
        <w:t xml:space="preserve">Variable cost at scale — beyond 10 M requests/month, self-hosting NudeNet or CLIP may be cheaper.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E1E2E"/>
          <w:sz w:val="18"/>
          <w:szCs w:val="18"/>
        </w:rPr>
        <w:t xml:space="preserve">Network latency — adds 80–180 ms per request; on-device inference eliminates this overhead.</w:t>
      </w:r>
    </w:p>
    <w:p>
      <w:pPr>
        <w:spacing w:after="120" w:before="0"/>
      </w:pP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8.  Future Scope</w:t>
      </w:r>
    </w:p>
    <w:p>
      <w:pPr>
        <w:pBdr>
          <w:bottom w:val="single" w:color="1B2A4A" w:sz="6"/>
        </w:pBdr>
        <w:spacing w:after="60" w:before="6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E1E2E"/>
          <w:sz w:val="18"/>
          <w:szCs w:val="18"/>
        </w:rPr>
        <w:t xml:space="preserve">Hybrid routing — local CLIP handles low-risk images; Sightengine handles ambiguous cases, cutting API spend ~60%.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E1E2E"/>
          <w:sz w:val="18"/>
          <w:szCs w:val="18"/>
        </w:rPr>
        <w:t xml:space="preserve">Async video pipeline — Celery worker pool for frame extraction and batch moderation without blocking main thread.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D737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1E1E2E"/>
          <w:sz w:val="18"/>
          <w:szCs w:val="18"/>
        </w:rPr>
        <w:t xml:space="preserve">Self-hosted fallback — NudeNet via Docker as hot standby to maintain 100% uptime if the Sightengine SLA is breached.</w:t>
      </w:r>
    </w:p>
    <w:p>
      <w:pPr>
        <w:spacing w:after="200" w:before="0"/>
      </w:pPr>
    </w:p>
    <w:p>
      <w:pPr>
        <w:pBdr>
          <w:bottom w:val="single" w:color="CBD5E0" w:sz="6"/>
        </w:pBdr>
        <w:spacing w:after="60" w:before="60"/>
      </w:pPr>
    </w:p>
    <w:p>
      <w:pPr>
        <w:spacing w:after="0" w:before="60"/>
        <w:jc w:val="center"/>
      </w:pPr>
      <w:r>
        <w:rPr>
          <w:rFonts w:ascii="Calibri" w:cs="Calibri" w:eastAsia="Calibri" w:hAnsi="Calibri"/>
          <w:i/>
          <w:iCs/>
          <w:color w:val="4A5568"/>
          <w:sz w:val="16"/>
          <w:szCs w:val="16"/>
        </w:rPr>
        <w:t xml:space="preserve">SafeFrame AI  ·  Tanvi Saraswat  ·  IMB360  ·  2026  ·  Confidential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18"/>
        <w:szCs w:val="1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2026-05-04T14:40:27.215Z</dcterms:created>
  <dcterms:modified xsi:type="dcterms:W3CDTF">2026-05-04T14:40:27.215Z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