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 REPORT</w:t>
      </w:r>
    </w:p>
    <w:p>
      <w:pPr>
        <w:jc w:val="center"/>
      </w:pPr>
      <w:r>
        <w:rPr>
          <w:b/>
        </w:rPr>
        <w:t>PANCREATIC CANCER PROGNOSIS USING MACHINE LEARNING</w:t>
      </w:r>
    </w:p>
    <w:p>
      <w:pPr>
        <w:jc w:val="center"/>
      </w:pPr>
      <w:r>
        <w:rPr>
          <w:b/>
        </w:rPr>
        <w:t>Cox Proportional Hazards Model with Clinical and Gene-Expression Features</w:t>
      </w:r>
    </w:p>
    <w:p>
      <w:pPr>
        <w:jc w:val="center"/>
      </w:pPr>
      <w:r>
        <w:rPr>
          <w:b w:val="0"/>
        </w:rPr>
        <w:t>Reference Paper: “Pancreatic cancer prognosis using clinical and radiomic data” – Arash Jamalian, Stanford CS229, 2020</w:t>
      </w:r>
    </w:p>
    <w:p>
      <w:pPr>
        <w:pStyle w:val="Heading1"/>
      </w:pPr>
      <w:r>
        <w:t>1. Abstract</w:t>
      </w:r>
    </w:p>
    <w:p>
      <w:r>
        <w:rPr>
          <w:b w:val="0"/>
        </w:rPr>
        <w:t>This project presents a machine-learning based survival-analysis system for pancreatic cancer prognosis. The work is inspired by the reference paper “Pancreatic cancer prognosis using clinical and radiomic data” by Arash Jamalian. Since the original Stanford dataset is restricted, the project uses the public TCGA-PAAD PanCancer Atlas cohort. Clinical variables are combined with high-dimensional gene-expression features and modeled using a ridge-penalized Cox proportional hazards model. The processed dataset contains 183 patients and 99 observed deaths, while the remaining observations are right-censored. Missing values are median-imputed, low-information variables are removed, expression features are selected using variance, and standardization is performed within training folds. Ten-fold cross-validation is used to compare clinical, expression and combined models. The tuned combined model uses 100 top-variance genes and an L2 penalizer of 1.0, obtaining a project-sweep C-index of approximately 0.67. Out-of-fold risk scores are used for Kaplan–Meier risk stratification and a log-rank test. The current analysis reports an OOF C-index of 0.6590 and a log-rank p-value of 9.89699 × 10⁻⁵. A Streamlit application demonstrates the prediction workflow. This system is an academic prototype and is not intended for clinical diagnosis or treatment.</w:t>
      </w:r>
    </w:p>
    <w:p>
      <w:pPr>
        <w:pStyle w:val="Heading1"/>
      </w:pPr>
      <w:r>
        <w:t>2. Introduction</w:t>
      </w:r>
    </w:p>
    <w:p>
      <w:r>
        <w:rPr>
          <w:b w:val="0"/>
        </w:rPr>
        <w:t>Pancreatic cancer has poor outcomes and considerable variation in patient survival. Prognostic modelling can help identify patterns associated with survival and provide a quantitative way to rank patients according to relative risk. Survival analysis differs from ordinary classification because some patients are right-censored; their final event is not observed during the available follow-up period.</w:t>
      </w:r>
    </w:p>
    <w:p>
      <w:r>
        <w:rPr>
          <w:b w:val="0"/>
        </w:rPr>
        <w:t>The Cox proportional hazards model is appropriate for this problem because it directly handles time-to-event data and censoring. The selected reference paper applies Cox-based survival modelling to pancreatic cancer using clinical and radiomic information. Our project follows the same general problem and modelling direction, but adapts it to a publicly available TCGA-PAAD dataset and replaces radiomic information with gene-expression features.</w:t>
      </w:r>
    </w:p>
    <w:p>
      <w:pPr>
        <w:pStyle w:val="Heading1"/>
      </w:pPr>
      <w:r>
        <w:t>3. Reference Paper and Adaptation</w:t>
      </w:r>
    </w:p>
    <w:tbl>
      <w:tblPr>
        <w:tblStyle w:val="TableGrid"/>
        <w:tblW w:type="auto" w:w="0"/>
        <w:jc w:val="center"/>
        <w:tblLook w:firstColumn="1" w:firstRow="1" w:lastColumn="0" w:lastRow="0" w:noHBand="0" w:noVBand="1" w:val="04A0"/>
      </w:tblPr>
      <w:tblGrid>
        <w:gridCol w:w="5184"/>
        <w:gridCol w:w="5184"/>
      </w:tblGrid>
      <w:tr>
        <w:tc>
          <w:tcPr>
            <w:tcW w:type="dxa" w:w="5184"/>
            <w:shd w:fill="DCEBE8"/>
          </w:tcPr>
          <w:p>
            <w:r>
              <w:rPr>
                <w:b/>
              </w:rPr>
              <w:t>Reference Paper</w:t>
            </w:r>
          </w:p>
        </w:tc>
        <w:tc>
          <w:tcPr>
            <w:tcW w:type="dxa" w:w="5184"/>
            <w:shd w:fill="DCEBE8"/>
          </w:tcPr>
          <w:p>
            <w:r>
              <w:rPr>
                <w:b/>
              </w:rPr>
              <w:t>Our Project</w:t>
            </w:r>
          </w:p>
        </w:tc>
      </w:tr>
      <w:tr>
        <w:tc>
          <w:tcPr>
            <w:tcW w:type="dxa" w:w="5184"/>
            <w:vAlign w:val="center"/>
          </w:tcPr>
          <w:p>
            <w:r>
              <w:rPr>
                <w:rFonts w:ascii="Times New Roman" w:hAnsi="Times New Roman"/>
                <w:sz w:val="17"/>
              </w:rPr>
              <w:t>Pancreatic cancer prognosis using clinical and radiomic data</w:t>
            </w:r>
          </w:p>
        </w:tc>
        <w:tc>
          <w:tcPr>
            <w:tcW w:type="dxa" w:w="5184"/>
            <w:vAlign w:val="center"/>
          </w:tcPr>
          <w:p>
            <w:r>
              <w:rPr>
                <w:rFonts w:ascii="Times New Roman" w:hAnsi="Times New Roman"/>
                <w:sz w:val="17"/>
              </w:rPr>
              <w:t>Pancreatic cancer prognosis using clinical and gene-expression data</w:t>
            </w:r>
          </w:p>
        </w:tc>
      </w:tr>
      <w:tr>
        <w:tc>
          <w:tcPr>
            <w:tcW w:type="dxa" w:w="5184"/>
            <w:vAlign w:val="center"/>
          </w:tcPr>
          <w:p>
            <w:r>
              <w:rPr>
                <w:rFonts w:ascii="Times New Roman" w:hAnsi="Times New Roman"/>
                <w:sz w:val="17"/>
              </w:rPr>
              <w:t>Stanford pancreatic cancer dataset</w:t>
            </w:r>
          </w:p>
        </w:tc>
        <w:tc>
          <w:tcPr>
            <w:tcW w:type="dxa" w:w="5184"/>
            <w:vAlign w:val="center"/>
          </w:tcPr>
          <w:p>
            <w:r>
              <w:rPr>
                <w:rFonts w:ascii="Times New Roman" w:hAnsi="Times New Roman"/>
                <w:sz w:val="17"/>
              </w:rPr>
              <w:t>Public TCGA-PAAD PanCancer Atlas</w:t>
            </w:r>
          </w:p>
        </w:tc>
      </w:tr>
      <w:tr>
        <w:tc>
          <w:tcPr>
            <w:tcW w:type="dxa" w:w="5184"/>
            <w:vAlign w:val="center"/>
          </w:tcPr>
          <w:p>
            <w:r>
              <w:rPr>
                <w:rFonts w:ascii="Times New Roman" w:hAnsi="Times New Roman"/>
                <w:sz w:val="17"/>
              </w:rPr>
              <w:t>Clinical + radiomic features</w:t>
            </w:r>
          </w:p>
        </w:tc>
        <w:tc>
          <w:tcPr>
            <w:tcW w:type="dxa" w:w="5184"/>
            <w:vAlign w:val="center"/>
          </w:tcPr>
          <w:p>
            <w:r>
              <w:rPr>
                <w:rFonts w:ascii="Times New Roman" w:hAnsi="Times New Roman"/>
                <w:sz w:val="17"/>
              </w:rPr>
              <w:t>Clinical + top-variance gene-expression features</w:t>
            </w:r>
          </w:p>
        </w:tc>
      </w:tr>
      <w:tr>
        <w:tc>
          <w:tcPr>
            <w:tcW w:type="dxa" w:w="5184"/>
            <w:vAlign w:val="center"/>
          </w:tcPr>
          <w:p>
            <w:r>
              <w:rPr>
                <w:rFonts w:ascii="Times New Roman" w:hAnsi="Times New Roman"/>
                <w:sz w:val="17"/>
              </w:rPr>
              <w:t>Cox proportional hazards model</w:t>
            </w:r>
          </w:p>
        </w:tc>
        <w:tc>
          <w:tcPr>
            <w:tcW w:type="dxa" w:w="5184"/>
            <w:vAlign w:val="center"/>
          </w:tcPr>
          <w:p>
            <w:r>
              <w:rPr>
                <w:rFonts w:ascii="Times New Roman" w:hAnsi="Times New Roman"/>
                <w:sz w:val="17"/>
              </w:rPr>
              <w:t>Ridge-penalized Cox proportional hazards</w:t>
            </w:r>
          </w:p>
        </w:tc>
      </w:tr>
      <w:tr>
        <w:tc>
          <w:tcPr>
            <w:tcW w:type="dxa" w:w="5184"/>
            <w:vAlign w:val="center"/>
          </w:tcPr>
          <w:p>
            <w:r>
              <w:rPr>
                <w:rFonts w:ascii="Times New Roman" w:hAnsi="Times New Roman"/>
                <w:sz w:val="17"/>
              </w:rPr>
              <w:t>Risk stratification</w:t>
            </w:r>
          </w:p>
        </w:tc>
        <w:tc>
          <w:tcPr>
            <w:tcW w:type="dxa" w:w="5184"/>
            <w:vAlign w:val="center"/>
          </w:tcPr>
          <w:p>
            <w:r>
              <w:rPr>
                <w:rFonts w:ascii="Times New Roman" w:hAnsi="Times New Roman"/>
                <w:sz w:val="17"/>
              </w:rPr>
              <w:t>Out-of-fold risk + Kaplan–Meier + log-rank</w:t>
            </w:r>
          </w:p>
        </w:tc>
      </w:tr>
      <w:tr>
        <w:tc>
          <w:tcPr>
            <w:tcW w:type="dxa" w:w="5184"/>
            <w:vAlign w:val="center"/>
          </w:tcPr>
          <w:p>
            <w:r>
              <w:rPr>
                <w:rFonts w:ascii="Times New Roman" w:hAnsi="Times New Roman"/>
                <w:sz w:val="17"/>
              </w:rPr>
              <w:t>Research analysis</w:t>
            </w:r>
          </w:p>
        </w:tc>
        <w:tc>
          <w:tcPr>
            <w:tcW w:type="dxa" w:w="5184"/>
            <w:vAlign w:val="center"/>
          </w:tcPr>
          <w:p>
            <w:r>
              <w:rPr>
                <w:rFonts w:ascii="Times New Roman" w:hAnsi="Times New Roman"/>
                <w:sz w:val="17"/>
              </w:rPr>
              <w:t>Research analysis + Streamlit demonstration</w:t>
            </w:r>
          </w:p>
        </w:tc>
      </w:tr>
    </w:tbl>
    <w:p>
      <w:r>
        <w:rPr>
          <w:b w:val="0"/>
        </w:rPr>
        <w:t>The reference paper was selected because it is directly related to the project topic, uses survival analysis for pancreatic cancer, and provides a suitable methodological foundation. The present work should be understood as an adaptation rather than an exact reproduction.</w:t>
      </w:r>
    </w:p>
    <w:p>
      <w:pPr>
        <w:pStyle w:val="Heading1"/>
      </w:pPr>
      <w:r>
        <w:t>4. Objectives</w:t>
      </w:r>
    </w:p>
    <w:p>
      <w:pPr>
        <w:pStyle w:val="ListBullet"/>
        <w:spacing w:after="20"/>
      </w:pPr>
      <w:r>
        <w:t>Develop a survival-risk model for pancreatic cancer patients.</w:t>
      </w:r>
    </w:p>
    <w:p>
      <w:pPr>
        <w:pStyle w:val="ListBullet"/>
        <w:spacing w:after="20"/>
      </w:pPr>
      <w:r>
        <w:t>Combine clinical and molecular information.</w:t>
      </w:r>
    </w:p>
    <w:p>
      <w:pPr>
        <w:pStyle w:val="ListBullet"/>
        <w:spacing w:after="20"/>
      </w:pPr>
      <w:r>
        <w:t>Apply L2 regularization to control overfitting.</w:t>
      </w:r>
    </w:p>
    <w:p>
      <w:pPr>
        <w:pStyle w:val="ListBullet"/>
        <w:spacing w:after="20"/>
      </w:pPr>
      <w:r>
        <w:t>Evaluate models using 10-fold cross-validation and C-index.</w:t>
      </w:r>
    </w:p>
    <w:p>
      <w:pPr>
        <w:pStyle w:val="ListBullet"/>
        <w:spacing w:after="20"/>
      </w:pPr>
      <w:r>
        <w:t>Generate out-of-fold risk scores for high/low-risk analysis.</w:t>
      </w:r>
    </w:p>
    <w:p>
      <w:pPr>
        <w:pStyle w:val="ListBullet"/>
        <w:spacing w:after="20"/>
      </w:pPr>
      <w:r>
        <w:t>Use Kaplan–Meier curves and log-rank testing.</w:t>
      </w:r>
    </w:p>
    <w:p>
      <w:pPr>
        <w:pStyle w:val="ListBullet"/>
        <w:spacing w:after="20"/>
      </w:pPr>
      <w:r>
        <w:t>Provide an interactive Streamlit demonstration.</w:t>
      </w:r>
    </w:p>
    <w:p>
      <w:r>
        <w:br w:type="page"/>
      </w:r>
    </w:p>
    <w:p>
      <w:pPr>
        <w:jc w:val="center"/>
      </w:pPr>
      <w:r>
        <w:rPr>
          <w:b/>
        </w:rPr>
        <w:t>PANCREATIC CANCER PROGNOSIS – PROJECT REPORT</w:t>
      </w:r>
    </w:p>
    <w:p>
      <w:pPr>
        <w:pStyle w:val="Heading1"/>
      </w:pPr>
      <w:r>
        <w:t>5. Dataset and System Requirements</w:t>
      </w:r>
    </w:p>
    <w:p>
      <w:r>
        <w:rPr>
          <w:b w:val="0"/>
        </w:rPr>
        <w:t>The project uses the public TCGA-PAAD PanCancer Atlas pancreatic adenocarcinoma cohort. The processed dataset contains 183 patients and 99 observed deaths. Patients without an observed death are treated as right-censored observations.</w:t>
      </w:r>
    </w:p>
    <w:tbl>
      <w:tblPr>
        <w:tblStyle w:val="TableGrid"/>
        <w:tblW w:type="auto" w:w="0"/>
        <w:jc w:val="center"/>
        <w:tblLook w:firstColumn="1" w:firstRow="1" w:lastColumn="0" w:lastRow="0" w:noHBand="0" w:noVBand="1" w:val="04A0"/>
      </w:tblPr>
      <w:tblGrid>
        <w:gridCol w:w="5184"/>
        <w:gridCol w:w="5184"/>
      </w:tblGrid>
      <w:tr>
        <w:tc>
          <w:tcPr>
            <w:tcW w:type="dxa" w:w="5184"/>
            <w:shd w:fill="DCEBE8"/>
          </w:tcPr>
          <w:p>
            <w:r>
              <w:rPr>
                <w:b/>
              </w:rPr>
              <w:t>Component</w:t>
            </w:r>
          </w:p>
        </w:tc>
        <w:tc>
          <w:tcPr>
            <w:tcW w:type="dxa" w:w="5184"/>
            <w:shd w:fill="DCEBE8"/>
          </w:tcPr>
          <w:p>
            <w:r>
              <w:rPr>
                <w:b/>
              </w:rPr>
              <w:t>Description</w:t>
            </w:r>
          </w:p>
        </w:tc>
      </w:tr>
      <w:tr>
        <w:tc>
          <w:tcPr>
            <w:tcW w:type="dxa" w:w="5184"/>
            <w:vAlign w:val="center"/>
          </w:tcPr>
          <w:p>
            <w:r>
              <w:rPr>
                <w:rFonts w:ascii="Times New Roman" w:hAnsi="Times New Roman"/>
                <w:sz w:val="17"/>
              </w:rPr>
              <w:t>Clinical features</w:t>
            </w:r>
          </w:p>
        </w:tc>
        <w:tc>
          <w:tcPr>
            <w:tcW w:type="dxa" w:w="5184"/>
            <w:vAlign w:val="center"/>
          </w:tcPr>
          <w:p>
            <w:r>
              <w:rPr>
                <w:rFonts w:ascii="Times New Roman" w:hAnsi="Times New Roman"/>
                <w:sz w:val="17"/>
              </w:rPr>
              <w:t>Age, sex, weight, stage, T/N/M status, treatment and diagnosis-related variables</w:t>
            </w:r>
          </w:p>
        </w:tc>
      </w:tr>
      <w:tr>
        <w:tc>
          <w:tcPr>
            <w:tcW w:type="dxa" w:w="5184"/>
            <w:vAlign w:val="center"/>
          </w:tcPr>
          <w:p>
            <w:r>
              <w:rPr>
                <w:rFonts w:ascii="Times New Roman" w:hAnsi="Times New Roman"/>
                <w:sz w:val="17"/>
              </w:rPr>
              <w:t>Gene expression</w:t>
            </w:r>
          </w:p>
        </w:tc>
        <w:tc>
          <w:tcPr>
            <w:tcW w:type="dxa" w:w="5184"/>
            <w:vAlign w:val="center"/>
          </w:tcPr>
          <w:p>
            <w:r>
              <w:rPr>
                <w:rFonts w:ascii="Times New Roman" w:hAnsi="Times New Roman"/>
                <w:sz w:val="17"/>
              </w:rPr>
              <w:t>High-dimensional expression measurements ranked by variance</w:t>
            </w:r>
          </w:p>
        </w:tc>
      </w:tr>
      <w:tr>
        <w:tc>
          <w:tcPr>
            <w:tcW w:type="dxa" w:w="5184"/>
            <w:vAlign w:val="center"/>
          </w:tcPr>
          <w:p>
            <w:r>
              <w:rPr>
                <w:rFonts w:ascii="Times New Roman" w:hAnsi="Times New Roman"/>
                <w:sz w:val="17"/>
              </w:rPr>
              <w:t>Final molecular features</w:t>
            </w:r>
          </w:p>
        </w:tc>
        <w:tc>
          <w:tcPr>
            <w:tcW w:type="dxa" w:w="5184"/>
            <w:vAlign w:val="center"/>
          </w:tcPr>
          <w:p>
            <w:r>
              <w:rPr>
                <w:rFonts w:ascii="Times New Roman" w:hAnsi="Times New Roman"/>
                <w:sz w:val="17"/>
              </w:rPr>
              <w:t>100 top-variance genes</w:t>
            </w:r>
          </w:p>
        </w:tc>
      </w:tr>
      <w:tr>
        <w:tc>
          <w:tcPr>
            <w:tcW w:type="dxa" w:w="5184"/>
            <w:vAlign w:val="center"/>
          </w:tcPr>
          <w:p>
            <w:r>
              <w:rPr>
                <w:rFonts w:ascii="Times New Roman" w:hAnsi="Times New Roman"/>
                <w:sz w:val="17"/>
              </w:rPr>
              <w:t>Outcome</w:t>
            </w:r>
          </w:p>
        </w:tc>
        <w:tc>
          <w:tcPr>
            <w:tcW w:type="dxa" w:w="5184"/>
            <w:vAlign w:val="center"/>
          </w:tcPr>
          <w:p>
            <w:r>
              <w:rPr>
                <w:rFonts w:ascii="Times New Roman" w:hAnsi="Times New Roman"/>
                <w:sz w:val="17"/>
              </w:rPr>
              <w:t>Overall survival duration and event indicator</w:t>
            </w:r>
          </w:p>
        </w:tc>
      </w:tr>
      <w:tr>
        <w:tc>
          <w:tcPr>
            <w:tcW w:type="dxa" w:w="5184"/>
            <w:vAlign w:val="center"/>
          </w:tcPr>
          <w:p>
            <w:r>
              <w:rPr>
                <w:rFonts w:ascii="Times New Roman" w:hAnsi="Times New Roman"/>
                <w:sz w:val="17"/>
              </w:rPr>
              <w:t>Patients / deaths</w:t>
            </w:r>
          </w:p>
        </w:tc>
        <w:tc>
          <w:tcPr>
            <w:tcW w:type="dxa" w:w="5184"/>
            <w:vAlign w:val="center"/>
          </w:tcPr>
          <w:p>
            <w:r>
              <w:rPr>
                <w:rFonts w:ascii="Times New Roman" w:hAnsi="Times New Roman"/>
                <w:sz w:val="17"/>
              </w:rPr>
              <w:t>183 / 99</w:t>
            </w:r>
          </w:p>
        </w:tc>
      </w:tr>
    </w:tbl>
    <w:p>
      <w:pPr>
        <w:pStyle w:val="Heading1"/>
      </w:pPr>
      <w:r>
        <w:t>6. Methodology</w:t>
      </w:r>
    </w:p>
    <w:p>
      <w:pPr>
        <w:pStyle w:val="Heading2"/>
      </w:pPr>
      <w:r>
        <w:t>6.1 Preprocessing</w:t>
      </w:r>
    </w:p>
    <w:p>
      <w:pPr>
        <w:pStyle w:val="ListBullet"/>
        <w:spacing w:after="20"/>
      </w:pPr>
      <w:r>
        <w:t>Convert survival time to duration and death status to event.</w:t>
      </w:r>
    </w:p>
    <w:p>
      <w:pPr>
        <w:pStyle w:val="ListBullet"/>
        <w:spacing w:after="20"/>
      </w:pPr>
      <w:r>
        <w:t>Handle missing numerical values using median imputation.</w:t>
      </w:r>
    </w:p>
    <w:p>
      <w:pPr>
        <w:pStyle w:val="ListBullet"/>
        <w:spacing w:after="20"/>
      </w:pPr>
      <w:r>
        <w:t>Remove binary variables with very low information.</w:t>
      </w:r>
    </w:p>
    <w:p>
      <w:pPr>
        <w:pStyle w:val="ListBullet"/>
        <w:spacing w:after="20"/>
      </w:pPr>
      <w:r>
        <w:t>Transform expression values according to the project preprocessing pipeline.</w:t>
      </w:r>
    </w:p>
    <w:p>
      <w:pPr>
        <w:pStyle w:val="ListBullet"/>
        <w:spacing w:after="20"/>
      </w:pPr>
      <w:r>
        <w:t>Rank genes by variance and retain the required top-variance subset.</w:t>
      </w:r>
    </w:p>
    <w:p>
      <w:pPr>
        <w:pStyle w:val="ListBullet"/>
        <w:spacing w:after="20"/>
      </w:pPr>
      <w:r>
        <w:t>Standardize features using statistics calculated only from each training fold.</w:t>
      </w:r>
    </w:p>
    <w:p>
      <w:pPr>
        <w:pStyle w:val="Heading2"/>
      </w:pPr>
      <w:r>
        <w:t>6.2 Cox Proportional Hazards Model</w:t>
      </w:r>
    </w:p>
    <w:p>
      <w:r>
        <w:rPr>
          <w:b w:val="0"/>
        </w:rPr>
        <w:t>The Cox model estimates the hazard as h(t|x) = h₀(t) exp(βᵀx), where h₀(t) is the baseline hazard and β represents feature coefficients. The model estimates relative hazard rather than directly predicting a fixed survival time.</w:t>
      </w:r>
    </w:p>
    <w:p>
      <w:pPr>
        <w:pStyle w:val="Heading2"/>
      </w:pPr>
      <w:r>
        <w:t>6.3 Ridge Regularization</w:t>
      </w:r>
    </w:p>
    <w:p>
      <w:r>
        <w:rPr>
          <w:b w:val="0"/>
        </w:rPr>
        <w:t>An L2 penalty is applied to reduce excessively large coefficients and improve stability when many molecular variables are used. The final selected penalizer is 1.0.</w:t>
      </w:r>
    </w:p>
    <w:p>
      <w:pPr>
        <w:pStyle w:val="Heading2"/>
      </w:pPr>
      <w:r>
        <w:t>6.4 Cross-Validation</w:t>
      </w:r>
    </w:p>
    <w:p>
      <w:r>
        <w:rPr>
          <w:b w:val="0"/>
        </w:rPr>
        <w:t>Ten-fold cross-validation is used. Scaling parameters are obtained from the training portion of each fold and applied to the validation portion. The main evaluation metric is the concordance index (C-index), where values closer to 1 indicate better agreement between predicted risk ranking and observed survival ordering.</w:t>
      </w:r>
    </w:p>
    <w:p>
      <w:pPr>
        <w:pStyle w:val="Heading2"/>
      </w:pPr>
      <w:r>
        <w:t>6.5 Risk Stratification</w:t>
      </w:r>
    </w:p>
    <w:p>
      <w:r>
        <w:rPr>
          <w:b w:val="0"/>
        </w:rPr>
        <w:t>Out-of-fold log-partial-hazard scores are generated for every patient. Patients are divided at the median score into high- and low-risk groups. Kaplan–Meier survival curves are then compared using a log-rank test.</w:t>
      </w:r>
    </w:p>
    <w:p>
      <w:pPr>
        <w:pStyle w:val="Heading1"/>
      </w:pPr>
      <w:r>
        <w:t>7. System Architecture</w:t>
      </w:r>
    </w:p>
    <w:p>
      <w:r>
        <w:rPr>
          <w:b/>
        </w:rPr>
        <w:t>TCGA-PAAD Data → Cleaning → Clinical/Expression Preparation → Feature Selection → Fold-wise Standardization → Ridge Cox Model → 10-Fold Validation → OOF Risk Scores → Kaplan–Meier / Log-Rank / Hazard Ratios → Streamlit Application</w:t>
      </w:r>
    </w:p>
    <w:p>
      <w:pPr>
        <w:pStyle w:val="Heading1"/>
      </w:pPr>
      <w:r>
        <w:t>8. Technology Stack</w:t>
      </w:r>
    </w:p>
    <w:tbl>
      <w:tblPr>
        <w:tblStyle w:val="TableGrid"/>
        <w:tblW w:type="auto" w:w="0"/>
        <w:jc w:val="center"/>
        <w:tblLook w:firstColumn="1" w:firstRow="1" w:lastColumn="0" w:lastRow="0" w:noHBand="0" w:noVBand="1" w:val="04A0"/>
      </w:tblPr>
      <w:tblGrid>
        <w:gridCol w:w="5184"/>
        <w:gridCol w:w="5184"/>
      </w:tblGrid>
      <w:tr>
        <w:tc>
          <w:tcPr>
            <w:tcW w:type="dxa" w:w="5184"/>
            <w:shd w:fill="DCEBE8"/>
          </w:tcPr>
          <w:p>
            <w:r>
              <w:rPr>
                <w:b/>
              </w:rPr>
              <w:t>Technology</w:t>
            </w:r>
          </w:p>
        </w:tc>
        <w:tc>
          <w:tcPr>
            <w:tcW w:type="dxa" w:w="5184"/>
            <w:shd w:fill="DCEBE8"/>
          </w:tcPr>
          <w:p>
            <w:r>
              <w:rPr>
                <w:b/>
              </w:rPr>
              <w:t>Purpose</w:t>
            </w:r>
          </w:p>
        </w:tc>
      </w:tr>
      <w:tr>
        <w:tc>
          <w:tcPr>
            <w:tcW w:type="dxa" w:w="5184"/>
            <w:vAlign w:val="center"/>
          </w:tcPr>
          <w:p>
            <w:r>
              <w:rPr>
                <w:rFonts w:ascii="Times New Roman" w:hAnsi="Times New Roman"/>
                <w:sz w:val="17"/>
              </w:rPr>
              <w:t>Python</w:t>
            </w:r>
          </w:p>
        </w:tc>
        <w:tc>
          <w:tcPr>
            <w:tcW w:type="dxa" w:w="5184"/>
            <w:vAlign w:val="center"/>
          </w:tcPr>
          <w:p>
            <w:r>
              <w:rPr>
                <w:rFonts w:ascii="Times New Roman" w:hAnsi="Times New Roman"/>
                <w:sz w:val="17"/>
              </w:rPr>
              <w:t>Core development</w:t>
            </w:r>
          </w:p>
        </w:tc>
      </w:tr>
      <w:tr>
        <w:tc>
          <w:tcPr>
            <w:tcW w:type="dxa" w:w="5184"/>
            <w:vAlign w:val="center"/>
          </w:tcPr>
          <w:p>
            <w:r>
              <w:rPr>
                <w:rFonts w:ascii="Times New Roman" w:hAnsi="Times New Roman"/>
                <w:sz w:val="17"/>
              </w:rPr>
              <w:t>Pandas / NumPy</w:t>
            </w:r>
          </w:p>
        </w:tc>
        <w:tc>
          <w:tcPr>
            <w:tcW w:type="dxa" w:w="5184"/>
            <w:vAlign w:val="center"/>
          </w:tcPr>
          <w:p>
            <w:r>
              <w:rPr>
                <w:rFonts w:ascii="Times New Roman" w:hAnsi="Times New Roman"/>
                <w:sz w:val="17"/>
              </w:rPr>
              <w:t>Data processing</w:t>
            </w:r>
          </w:p>
        </w:tc>
      </w:tr>
      <w:tr>
        <w:tc>
          <w:tcPr>
            <w:tcW w:type="dxa" w:w="5184"/>
            <w:vAlign w:val="center"/>
          </w:tcPr>
          <w:p>
            <w:r>
              <w:rPr>
                <w:rFonts w:ascii="Times New Roman" w:hAnsi="Times New Roman"/>
                <w:sz w:val="17"/>
              </w:rPr>
              <w:t>Scikit-learn</w:t>
            </w:r>
          </w:p>
        </w:tc>
        <w:tc>
          <w:tcPr>
            <w:tcW w:type="dxa" w:w="5184"/>
            <w:vAlign w:val="center"/>
          </w:tcPr>
          <w:p>
            <w:r>
              <w:rPr>
                <w:rFonts w:ascii="Times New Roman" w:hAnsi="Times New Roman"/>
                <w:sz w:val="17"/>
              </w:rPr>
              <w:t>Cross-validation and preprocessing</w:t>
            </w:r>
          </w:p>
        </w:tc>
      </w:tr>
      <w:tr>
        <w:tc>
          <w:tcPr>
            <w:tcW w:type="dxa" w:w="5184"/>
            <w:vAlign w:val="center"/>
          </w:tcPr>
          <w:p>
            <w:r>
              <w:rPr>
                <w:rFonts w:ascii="Times New Roman" w:hAnsi="Times New Roman"/>
                <w:sz w:val="17"/>
              </w:rPr>
              <w:t>Lifelines</w:t>
            </w:r>
          </w:p>
        </w:tc>
        <w:tc>
          <w:tcPr>
            <w:tcW w:type="dxa" w:w="5184"/>
            <w:vAlign w:val="center"/>
          </w:tcPr>
          <w:p>
            <w:r>
              <w:rPr>
                <w:rFonts w:ascii="Times New Roman" w:hAnsi="Times New Roman"/>
                <w:sz w:val="17"/>
              </w:rPr>
              <w:t>Cox and Kaplan–Meier analysis</w:t>
            </w:r>
          </w:p>
        </w:tc>
      </w:tr>
      <w:tr>
        <w:tc>
          <w:tcPr>
            <w:tcW w:type="dxa" w:w="5184"/>
            <w:vAlign w:val="center"/>
          </w:tcPr>
          <w:p>
            <w:r>
              <w:rPr>
                <w:rFonts w:ascii="Times New Roman" w:hAnsi="Times New Roman"/>
                <w:sz w:val="17"/>
              </w:rPr>
              <w:t>Matplotlib</w:t>
            </w:r>
          </w:p>
        </w:tc>
        <w:tc>
          <w:tcPr>
            <w:tcW w:type="dxa" w:w="5184"/>
            <w:vAlign w:val="center"/>
          </w:tcPr>
          <w:p>
            <w:r>
              <w:rPr>
                <w:rFonts w:ascii="Times New Roman" w:hAnsi="Times New Roman"/>
                <w:sz w:val="17"/>
              </w:rPr>
              <w:t>Visualization</w:t>
            </w:r>
          </w:p>
        </w:tc>
      </w:tr>
      <w:tr>
        <w:tc>
          <w:tcPr>
            <w:tcW w:type="dxa" w:w="5184"/>
            <w:vAlign w:val="center"/>
          </w:tcPr>
          <w:p>
            <w:r>
              <w:rPr>
                <w:rFonts w:ascii="Times New Roman" w:hAnsi="Times New Roman"/>
                <w:sz w:val="17"/>
              </w:rPr>
              <w:t>Jupyter Notebook</w:t>
            </w:r>
          </w:p>
        </w:tc>
        <w:tc>
          <w:tcPr>
            <w:tcW w:type="dxa" w:w="5184"/>
            <w:vAlign w:val="center"/>
          </w:tcPr>
          <w:p>
            <w:r>
              <w:rPr>
                <w:rFonts w:ascii="Times New Roman" w:hAnsi="Times New Roman"/>
                <w:sz w:val="17"/>
              </w:rPr>
              <w:t>Experiments</w:t>
            </w:r>
          </w:p>
        </w:tc>
      </w:tr>
      <w:tr>
        <w:tc>
          <w:tcPr>
            <w:tcW w:type="dxa" w:w="5184"/>
            <w:vAlign w:val="center"/>
          </w:tcPr>
          <w:p>
            <w:r>
              <w:rPr>
                <w:rFonts w:ascii="Times New Roman" w:hAnsi="Times New Roman"/>
                <w:sz w:val="17"/>
              </w:rPr>
              <w:t>Streamlit</w:t>
            </w:r>
          </w:p>
        </w:tc>
        <w:tc>
          <w:tcPr>
            <w:tcW w:type="dxa" w:w="5184"/>
            <w:vAlign w:val="center"/>
          </w:tcPr>
          <w:p>
            <w:r>
              <w:rPr>
                <w:rFonts w:ascii="Times New Roman" w:hAnsi="Times New Roman"/>
                <w:sz w:val="17"/>
              </w:rPr>
              <w:t>Web application</w:t>
            </w:r>
          </w:p>
        </w:tc>
      </w:tr>
      <w:tr>
        <w:tc>
          <w:tcPr>
            <w:tcW w:type="dxa" w:w="5184"/>
            <w:vAlign w:val="center"/>
          </w:tcPr>
          <w:p>
            <w:r>
              <w:rPr>
                <w:rFonts w:ascii="Times New Roman" w:hAnsi="Times New Roman"/>
                <w:sz w:val="17"/>
              </w:rPr>
              <w:t>Git/GitHub</w:t>
            </w:r>
          </w:p>
        </w:tc>
        <w:tc>
          <w:tcPr>
            <w:tcW w:type="dxa" w:w="5184"/>
            <w:vAlign w:val="center"/>
          </w:tcPr>
          <w:p>
            <w:r>
              <w:rPr>
                <w:rFonts w:ascii="Times New Roman" w:hAnsi="Times New Roman"/>
                <w:sz w:val="17"/>
              </w:rPr>
              <w:t>Version control</w:t>
            </w:r>
          </w:p>
        </w:tc>
      </w:tr>
    </w:tbl>
    <w:p>
      <w:r>
        <w:br w:type="page"/>
      </w:r>
    </w:p>
    <w:p>
      <w:pPr>
        <w:jc w:val="center"/>
      </w:pPr>
      <w:r>
        <w:rPr>
          <w:b/>
        </w:rPr>
        <w:t>PANCREATIC CANCER PROGNOSIS – PROJECT REPORT</w:t>
      </w:r>
    </w:p>
    <w:p>
      <w:pPr>
        <w:pStyle w:val="Heading1"/>
      </w:pPr>
      <w:r>
        <w:t>9. Results and Discussion</w:t>
      </w:r>
    </w:p>
    <w:p>
      <w:r>
        <w:rPr>
          <w:b w:val="0"/>
        </w:rPr>
        <w:t>Three feature configurations were evaluated. The clinical-only model gives a baseline C-index of approximately 0.63. The expression-only model improves from approximately 0.57 to 0.64 after tuning. The combined model provides the strongest project-sweep result at approximately 0.67 using 100 genes and an L2 penalizer of 1.0.</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CEBE8"/>
          </w:tcPr>
          <w:p>
            <w:r>
              <w:rPr>
                <w:b/>
              </w:rPr>
              <w:t>Model</w:t>
            </w:r>
          </w:p>
        </w:tc>
        <w:tc>
          <w:tcPr>
            <w:tcW w:type="dxa" w:w="3456"/>
            <w:shd w:fill="DCEBE8"/>
          </w:tcPr>
          <w:p>
            <w:r>
              <w:rPr>
                <w:b/>
              </w:rPr>
              <w:t>Untuned C-index</w:t>
            </w:r>
          </w:p>
        </w:tc>
        <w:tc>
          <w:tcPr>
            <w:tcW w:type="dxa" w:w="3456"/>
            <w:shd w:fill="DCEBE8"/>
          </w:tcPr>
          <w:p>
            <w:r>
              <w:rPr>
                <w:b/>
              </w:rPr>
              <w:t>Tuned C-index</w:t>
            </w:r>
          </w:p>
        </w:tc>
      </w:tr>
      <w:tr>
        <w:tc>
          <w:tcPr>
            <w:tcW w:type="dxa" w:w="3456"/>
            <w:vAlign w:val="center"/>
          </w:tcPr>
          <w:p>
            <w:r>
              <w:rPr>
                <w:rFonts w:ascii="Times New Roman" w:hAnsi="Times New Roman"/>
                <w:sz w:val="17"/>
              </w:rPr>
              <w:t>Clinical</w:t>
            </w:r>
          </w:p>
        </w:tc>
        <w:tc>
          <w:tcPr>
            <w:tcW w:type="dxa" w:w="3456"/>
            <w:vAlign w:val="center"/>
          </w:tcPr>
          <w:p>
            <w:r>
              <w:rPr>
                <w:rFonts w:ascii="Times New Roman" w:hAnsi="Times New Roman"/>
                <w:sz w:val="17"/>
              </w:rPr>
              <w:t>0.63</w:t>
            </w:r>
          </w:p>
        </w:tc>
        <w:tc>
          <w:tcPr>
            <w:tcW w:type="dxa" w:w="3456"/>
            <w:vAlign w:val="center"/>
          </w:tcPr>
          <w:p>
            <w:r>
              <w:rPr>
                <w:rFonts w:ascii="Times New Roman" w:hAnsi="Times New Roman"/>
                <w:sz w:val="17"/>
              </w:rPr>
              <w:t>0.63</w:t>
            </w:r>
          </w:p>
        </w:tc>
      </w:tr>
      <w:tr>
        <w:tc>
          <w:tcPr>
            <w:tcW w:type="dxa" w:w="3456"/>
            <w:vAlign w:val="center"/>
          </w:tcPr>
          <w:p>
            <w:r>
              <w:rPr>
                <w:rFonts w:ascii="Times New Roman" w:hAnsi="Times New Roman"/>
                <w:sz w:val="17"/>
              </w:rPr>
              <w:t>Expression</w:t>
            </w:r>
          </w:p>
        </w:tc>
        <w:tc>
          <w:tcPr>
            <w:tcW w:type="dxa" w:w="3456"/>
            <w:vAlign w:val="center"/>
          </w:tcPr>
          <w:p>
            <w:r>
              <w:rPr>
                <w:rFonts w:ascii="Times New Roman" w:hAnsi="Times New Roman"/>
                <w:sz w:val="17"/>
              </w:rPr>
              <w:t>0.57</w:t>
            </w:r>
          </w:p>
        </w:tc>
        <w:tc>
          <w:tcPr>
            <w:tcW w:type="dxa" w:w="3456"/>
            <w:vAlign w:val="center"/>
          </w:tcPr>
          <w:p>
            <w:r>
              <w:rPr>
                <w:rFonts w:ascii="Times New Roman" w:hAnsi="Times New Roman"/>
                <w:sz w:val="17"/>
              </w:rPr>
              <w:t>0.64</w:t>
            </w:r>
          </w:p>
        </w:tc>
      </w:tr>
      <w:tr>
        <w:tc>
          <w:tcPr>
            <w:tcW w:type="dxa" w:w="3456"/>
            <w:vAlign w:val="center"/>
          </w:tcPr>
          <w:p>
            <w:r>
              <w:rPr>
                <w:rFonts w:ascii="Times New Roman" w:hAnsi="Times New Roman"/>
                <w:sz w:val="17"/>
              </w:rPr>
              <w:t>Combined</w:t>
            </w:r>
          </w:p>
        </w:tc>
        <w:tc>
          <w:tcPr>
            <w:tcW w:type="dxa" w:w="3456"/>
            <w:vAlign w:val="center"/>
          </w:tcPr>
          <w:p>
            <w:r>
              <w:rPr>
                <w:rFonts w:ascii="Times New Roman" w:hAnsi="Times New Roman"/>
                <w:sz w:val="17"/>
              </w:rPr>
              <w:t>0.58</w:t>
            </w:r>
          </w:p>
        </w:tc>
        <w:tc>
          <w:tcPr>
            <w:tcW w:type="dxa" w:w="3456"/>
            <w:vAlign w:val="center"/>
          </w:tcPr>
          <w:p>
            <w:r>
              <w:rPr>
                <w:rFonts w:ascii="Times New Roman" w:hAnsi="Times New Roman"/>
                <w:sz w:val="17"/>
              </w:rPr>
              <w:t>0.67</w:t>
            </w:r>
          </w:p>
        </w:tc>
      </w:tr>
    </w:tbl>
    <w:p>
      <w:r>
        <w:rPr>
          <w:b w:val="0"/>
        </w:rPr>
        <w:t>The current out-of-fold analysis reports a pooled C-index of 0.6590. The median risk split also produces a log-rank p-value of 9.89699 × 10⁻⁵, indicating evidence that the observed survival distributions differ between the high- and low-risk groups in this cohort.</w:t>
      </w:r>
    </w:p>
    <w:p>
      <w:r>
        <w:rPr>
          <w:b w:val="0"/>
        </w:rPr>
        <w:t>The 0.67 tuned result should be interpreted carefully because the parameter selection and scoring were performed within the same cross-validation sweep. The result may therefore be slightly optimistic. Independent external validation would provide stronger evidence of generalization.</w:t>
      </w:r>
    </w:p>
    <w:p>
      <w:pPr>
        <w:pStyle w:val="Heading1"/>
      </w:pPr>
      <w:r>
        <w:t>10. Streamlit Web Application</w:t>
      </w:r>
    </w:p>
    <w:p>
      <w:r>
        <w:rPr>
          <w:b w:val="0"/>
        </w:rPr>
        <w:t>A Streamlit application was developed to demonstrate the trained model interactively. The user enters a simplified clinical profile and receives a relative Cox risk score. Because the combined model contains 100 molecular features, the demonstration keeps molecular inputs at training-reference values instead of requiring manual entry of all genes.</w:t>
      </w:r>
    </w:p>
    <w:p>
      <w:r>
        <w:rPr>
          <w:b w:val="0"/>
        </w:rPr>
        <w:t>Application: https://pancreatic-cancer-prognosis---ml-mini-project-fshsq7pxximhe8xu.streamlit.app/</w:t>
      </w:r>
    </w:p>
    <w:p>
      <w:r>
        <w:rPr>
          <w:b w:val="0"/>
        </w:rPr>
        <w:t>The application is intended only for academic demonstration and should not be used as a clinical diagnostic or treatment system.</w:t>
      </w:r>
    </w:p>
    <w:p>
      <w:pPr>
        <w:pStyle w:val="Heading1"/>
      </w:pPr>
      <w:r>
        <w:t>11. Advantages and Limitations</w:t>
      </w:r>
    </w:p>
    <w:p>
      <w:r>
        <w:rPr>
          <w:b w:val="0"/>
        </w:rPr>
        <w:t>Advantages: handles censored survival data; combines clinical and molecular information; uses regularization; provides out-of-fold risk analysis; supports hazard-ratio interpretation; and includes an interactive demonstration.</w:t>
      </w:r>
    </w:p>
    <w:p>
      <w:r>
        <w:rPr>
          <w:b w:val="0"/>
        </w:rPr>
        <w:t>Limitations: small cohort size; no independent external validation; gene expression is used as a substitute for radiomic information from the reference paper; the tuned C-index may be optimistic; and the Streamlit interface uses fixed molecular reference values.</w:t>
      </w:r>
    </w:p>
    <w:p>
      <w:pPr>
        <w:pStyle w:val="Heading1"/>
      </w:pPr>
      <w:r>
        <w:t>12. Future Scope</w:t>
      </w:r>
    </w:p>
    <w:p>
      <w:pPr>
        <w:pStyle w:val="ListBullet"/>
        <w:spacing w:after="20"/>
      </w:pPr>
      <w:r>
        <w:t>Use nested cross-validation and an independent validation cohort.</w:t>
      </w:r>
    </w:p>
    <w:p>
      <w:pPr>
        <w:pStyle w:val="ListBullet"/>
        <w:spacing w:after="20"/>
      </w:pPr>
      <w:r>
        <w:t>Increase the dataset size and test multi-center generalization.</w:t>
      </w:r>
    </w:p>
    <w:p>
      <w:pPr>
        <w:pStyle w:val="ListBullet"/>
        <w:spacing w:after="20"/>
      </w:pPr>
      <w:r>
        <w:t>Compare with elastic-net Cox, random survival forests and neural survival models.</w:t>
      </w:r>
    </w:p>
    <w:p>
      <w:pPr>
        <w:pStyle w:val="ListBullet"/>
        <w:spacing w:after="20"/>
      </w:pPr>
      <w:r>
        <w:t>Perform survival calibration and clinical-utility analysis.</w:t>
      </w:r>
    </w:p>
    <w:p>
      <w:pPr>
        <w:pStyle w:val="ListBullet"/>
        <w:spacing w:after="20"/>
      </w:pPr>
      <w:r>
        <w:t>Improve gene selection using biological pathways.</w:t>
      </w:r>
    </w:p>
    <w:p>
      <w:pPr>
        <w:pStyle w:val="ListBullet"/>
        <w:spacing w:after="20"/>
      </w:pPr>
      <w:r>
        <w:t>Add uncertainty estimation and stronger explainability.</w:t>
      </w:r>
    </w:p>
    <w:p>
      <w:pPr>
        <w:pStyle w:val="Heading1"/>
      </w:pPr>
      <w:r>
        <w:t>13. Conclusion</w:t>
      </w:r>
    </w:p>
    <w:p>
      <w:r>
        <w:rPr>
          <w:b w:val="0"/>
        </w:rPr>
        <w:t>The project demonstrates an end-to-end machine-learning workflow for pancreatic cancer survival analysis. Inspired by the selected reference paper, it adapts Cox proportional hazards modelling to public TCGA-PAAD data and combines clinical and gene-expression information. The combined model achieves the best project-sweep C-index of approximately 0.67, while the out-of-fold analysis achieves 0.6590 and shows significant separation between median-defined risk groups. The project integrates preprocessing, regularized survival modelling, validation, risk stratification, interpretation and web deployment. Further external validation is required before any clinical application.</w:t>
      </w:r>
    </w:p>
    <w:p>
      <w:pPr>
        <w:pStyle w:val="Heading1"/>
      </w:pPr>
      <w:r>
        <w:t>14. Reference Paper</w:t>
      </w:r>
    </w:p>
    <w:p>
      <w:r>
        <w:rPr>
          <w:b w:val="0"/>
        </w:rPr>
        <w:t>A. Jamalian, “Pancreatic cancer prognosis using clinical and radiomic data,” Stanford CS229 Project Final Report, June 10, 2020. https://cs229.stanford.edu/proj2020spr/report/Jamalian.pdf</w:t>
      </w:r>
    </w:p>
    <w:p>
      <w:pPr>
        <w:jc w:val="center"/>
      </w:pPr>
      <w:r>
        <w:rPr>
          <w:b/>
        </w:rPr>
        <w:t>Team: Tanvi B. Shetty [PES1UG24AM302] and Y. V. Bhavana [PES1UG24AM328]</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Pancreatic Cancer Prognosis – ML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Times New Roman" w:hAnsi="Times New Roman"/>
      <w:b/>
      <w:bCs/>
      <w:color w:val="14202B"/>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b/>
      <w:bCs/>
      <w:color w:val="14202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Times New Roman" w:hAnsi="Times New Roman"/>
      <w:b/>
      <w:color w:val="14202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