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Times New Roman" w:hAnsi="Times New Roman" w:eastAsia="Times New Roman"/>
          <w:b/>
          <w:i w:val="0"/>
          <w:sz w:val="28"/>
        </w:rPr>
        <w:t>History-Aware Predictive Connection Pooling: A Client-Side Learning Approach to Self-Healing JDBC Connections in Structurally Unreliable Networks</w:t>
      </w:r>
    </w:p>
    <w:p>
      <w:pPr>
        <w:spacing w:after="160" w:line="276" w:lineRule="auto"/>
        <w:jc w:val="center"/>
      </w:pPr>
      <w:r>
        <w:rPr>
          <w:rFonts w:ascii="Times New Roman" w:hAnsi="Times New Roman" w:eastAsia="Times New Roman"/>
          <w:b w:val="0"/>
          <w:i w:val="0"/>
          <w:sz w:val="24"/>
        </w:rPr>
        <w:t>Sara Sharma, Tanvi Singh</w:t>
      </w:r>
    </w:p>
    <w:p>
      <w:pPr>
        <w:spacing w:after="160" w:line="276" w:lineRule="auto"/>
        <w:jc w:val="center"/>
      </w:pPr>
      <w:r>
        <w:rPr>
          <w:rFonts w:ascii="Times New Roman" w:hAnsi="Times New Roman" w:eastAsia="Times New Roman"/>
          <w:b w:val="0"/>
          <w:i w:val="0"/>
          <w:sz w:val="22"/>
        </w:rPr>
        <w:t>23BCE0967, 23BCE2155</w:t>
      </w:r>
    </w:p>
    <w:p>
      <w:pPr>
        <w:spacing w:after="160" w:line="276" w:lineRule="auto"/>
        <w:jc w:val="center"/>
      </w:pPr>
      <w:r>
        <w:rPr>
          <w:rFonts w:ascii="Times New Roman" w:hAnsi="Times New Roman" w:eastAsia="Times New Roman"/>
          <w:b w:val="0"/>
          <w:i w:val="0"/>
          <w:sz w:val="22"/>
        </w:rPr>
        <w:t>School of Computer Science and Engineering, Vellore Institute of Technology, Vellore, India</w:t>
      </w:r>
    </w:p>
    <w:p>
      <w:pPr>
        <w:spacing w:after="160" w:line="276" w:lineRule="auto"/>
        <w:jc w:val="center"/>
      </w:pPr>
      <w:r>
        <w:rPr>
          <w:rFonts w:ascii="Times New Roman" w:hAnsi="Times New Roman" w:eastAsia="Times New Roman"/>
          <w:b w:val="0"/>
          <w:i/>
          <w:sz w:val="20"/>
        </w:rPr>
        <w:t>Guide: Mr. Syamasudha Veeragandham, Assistant Professor, School of Computer Science and Engineering, Department of Software Systems, VIT Vellore</w:t>
      </w:r>
    </w:p>
    <w:p>
      <w:pPr>
        <w:spacing w:after="160" w:line="276" w:lineRule="auto"/>
        <w:jc w:val="center"/>
      </w:pPr>
      <w:r>
        <w:rPr>
          <w:rFonts w:ascii="Times New Roman" w:hAnsi="Times New Roman" w:eastAsia="Times New Roman"/>
          <w:b/>
          <w:i w:val="0"/>
          <w:sz w:val="22"/>
        </w:rPr>
        <w:t>Review-2 Complete Research Document (through Conclusion)</w:t>
      </w:r>
    </w:p>
    <w:p>
      <w:pPr>
        <w:pStyle w:val="Heading1"/>
      </w:pPr>
      <w:r>
        <w:rPr>
          <w:rFonts w:ascii="Times New Roman" w:hAnsi="Times New Roman" w:eastAsia="Times New Roman"/>
          <w:b/>
          <w:i w:val="0"/>
          <w:sz w:val="28"/>
        </w:rPr>
        <w:t>Abstract</w:t>
      </w:r>
    </w:p>
    <w:p>
      <w:pPr>
        <w:spacing w:after="160" w:line="276" w:lineRule="auto"/>
      </w:pPr>
      <w:r>
        <w:rPr>
          <w:rFonts w:ascii="Times New Roman" w:hAnsi="Times New Roman" w:eastAsia="Times New Roman"/>
          <w:b w:val="0"/>
          <w:i w:val="0"/>
          <w:sz w:val="22"/>
        </w:rPr>
        <w:t>Standard JDBC connection pools and resilience wrappers such as circuit breakers are largely memoryless across recurring structural failure patterns. This paper presents a client-side pattern-aware pool that learns per-endpoint history (EWMA hourly rates, run-length clusters, and optional reset periods), then fails over when weighted risk, hot-hour plain rate, live cluster length, or a predicted reset threshold fires — and pre-warms backup connections with recovery probes. We compare three modes under an honest protocol (7-day live learning, day-8 measurement, n=30 seeds): reactive primary-first, a classic circuit breaker (open after 3 primary failures / 60s / half-open probe), and the predictive pool. In the afternoon bad window, reactive incurred 85.9±4.0 connect failures per 100 requests, circuit breaker 3.2±1.1, and predictive 0.0±0.0 with 100.0±0.0 preemptive failovers and 100.0±0.0 warm hits (numbers read from experiment_summary.csv). UI is Swing (not JavaFX); lifecycle hooks are Spring-compatible in spirit, not a Spring dependency.</w:t>
      </w:r>
    </w:p>
    <w:p>
      <w:pPr>
        <w:spacing w:after="160" w:line="276" w:lineRule="auto"/>
      </w:pPr>
      <w:r>
        <w:rPr>
          <w:rFonts w:ascii="Times New Roman" w:hAnsi="Times New Roman" w:eastAsia="Times New Roman"/>
          <w:b w:val="0"/>
          <w:i/>
          <w:sz w:val="22"/>
        </w:rPr>
        <w:t>Keywords— connection pooling; JDBC; self-healing systems; predictive fault tolerance; EWMA; circuit breaker; hot-hour failover; recovery probe; preemptive migration.</w:t>
      </w:r>
    </w:p>
    <w:p>
      <w:pPr>
        <w:pStyle w:val="Heading1"/>
      </w:pPr>
      <w:r>
        <w:rPr>
          <w:rFonts w:ascii="Times New Roman" w:hAnsi="Times New Roman" w:eastAsia="Times New Roman"/>
          <w:b/>
          <w:i w:val="0"/>
          <w:sz w:val="28"/>
        </w:rPr>
        <w:t>I. INTRODUCTION</w:t>
      </w:r>
    </w:p>
    <w:p>
      <w:pPr>
        <w:spacing w:after="160" w:line="276" w:lineRule="auto"/>
      </w:pPr>
      <w:r>
        <w:rPr>
          <w:rFonts w:ascii="Times New Roman" w:hAnsi="Times New Roman" w:eastAsia="Times New Roman"/>
          <w:b w:val="0"/>
          <w:i w:val="0"/>
          <w:sz w:val="22"/>
        </w:rPr>
        <w:t>Connection pools amortise JDBC handshake cost, but mainstream pools follow a memoryless failure loop: validate/use, evict on failure, create replacement. That fits near-independent data-centre failures poorly when connectivity degrades in structured ways — daily bad hours, burst clusters, and threshold-triggered resets after a bounded success streak.</w:t>
      </w:r>
    </w:p>
    <w:p>
      <w:pPr>
        <w:spacing w:after="160" w:line="276" w:lineRule="auto"/>
      </w:pPr>
      <w:r>
        <w:rPr>
          <w:rFonts w:ascii="Times New Roman" w:hAnsi="Times New Roman" w:eastAsia="Times New Roman"/>
          <w:b w:val="0"/>
          <w:i w:val="0"/>
          <w:sz w:val="22"/>
        </w:rPr>
        <w:t>Circuit breakers reduce repeated primary attempts after a short failure window, but still pay the first failures of every open period and do not pre-warm backups. This work evaluates whether client-side history can do better than both reactive failover and a circuit breaker on the same flaky-endpoint simulator.</w:t>
      </w:r>
    </w:p>
    <w:p>
      <w:pPr>
        <w:pStyle w:val="Heading1"/>
      </w:pPr>
      <w:r>
        <w:rPr>
          <w:rFonts w:ascii="Times New Roman" w:hAnsi="Times New Roman" w:eastAsia="Times New Roman"/>
          <w:b/>
          <w:i w:val="0"/>
          <w:sz w:val="28"/>
        </w:rPr>
        <w:t>II. OBJECTIVES</w:t>
      </w:r>
    </w:p>
    <w:p>
      <w:pPr>
        <w:spacing w:after="160" w:line="276" w:lineRule="auto"/>
      </w:pPr>
      <w:r>
        <w:rPr>
          <w:rFonts w:ascii="Times New Roman" w:hAnsi="Times New Roman" w:eastAsia="Times New Roman"/>
          <w:b w:val="0"/>
          <w:i w:val="0"/>
          <w:sz w:val="22"/>
        </w:rPr>
        <w:t>O1 — Failure memory: record attempts per endpoint in a bounded store.</w:t>
      </w:r>
    </w:p>
    <w:p>
      <w:pPr>
        <w:spacing w:after="160" w:line="276" w:lineRule="auto"/>
      </w:pPr>
      <w:r>
        <w:rPr>
          <w:rFonts w:ascii="Times New Roman" w:hAnsi="Times New Roman" w:eastAsia="Times New Roman"/>
          <w:b w:val="0"/>
          <w:i w:val="0"/>
          <w:sz w:val="22"/>
        </w:rPr>
        <w:t>O2 — Pattern learning: hourly rates (EWMA + plain), clusters, optional reset period detection.</w:t>
      </w:r>
    </w:p>
    <w:p>
      <w:pPr>
        <w:spacing w:after="160" w:line="276" w:lineRule="auto"/>
      </w:pPr>
      <w:r>
        <w:rPr>
          <w:rFonts w:ascii="Times New Roman" w:hAnsi="Times New Roman" w:eastAsia="Times New Roman"/>
          <w:b w:val="0"/>
          <w:i w:val="0"/>
          <w:sz w:val="22"/>
        </w:rPr>
        <w:t>O3 — Predictive routing: failover on weighted score OR hot hour OR live cluster OR reset prediction.</w:t>
      </w:r>
    </w:p>
    <w:p>
      <w:pPr>
        <w:spacing w:after="160" w:line="276" w:lineRule="auto"/>
      </w:pPr>
      <w:r>
        <w:rPr>
          <w:rFonts w:ascii="Times New Roman" w:hAnsi="Times New Roman" w:eastAsia="Times New Roman"/>
          <w:b w:val="0"/>
          <w:i w:val="0"/>
          <w:sz w:val="22"/>
        </w:rPr>
        <w:t>O4 — Pre-emptive readiness: pre-warm backups and recover primary via background probes.</w:t>
      </w:r>
    </w:p>
    <w:p>
      <w:pPr>
        <w:spacing w:after="160" w:line="276" w:lineRule="auto"/>
      </w:pPr>
      <w:r>
        <w:rPr>
          <w:rFonts w:ascii="Times New Roman" w:hAnsi="Times New Roman" w:eastAsia="Times New Roman"/>
          <w:b w:val="0"/>
          <w:i w:val="0"/>
          <w:sz w:val="22"/>
        </w:rPr>
        <w:t>O5 — Honest evaluation: learn from live traffic for 7 days; measure day 8; report mean±sd over seeds.</w:t>
      </w:r>
    </w:p>
    <w:p>
      <w:pPr>
        <w:pStyle w:val="Heading1"/>
      </w:pPr>
      <w:r>
        <w:rPr>
          <w:rFonts w:ascii="Times New Roman" w:hAnsi="Times New Roman" w:eastAsia="Times New Roman"/>
          <w:b/>
          <w:i w:val="0"/>
          <w:sz w:val="28"/>
        </w:rPr>
        <w:t>III. LITERATURE REVIEW (SUMMARY)</w:t>
      </w:r>
    </w:p>
    <w:p>
      <w:pPr>
        <w:spacing w:after="160" w:line="276" w:lineRule="auto"/>
      </w:pPr>
      <w:r>
        <w:rPr>
          <w:rFonts w:ascii="Times New Roman" w:hAnsi="Times New Roman" w:eastAsia="Times New Roman"/>
          <w:b w:val="0"/>
          <w:i w:val="0"/>
          <w:sz w:val="22"/>
        </w:rPr>
        <w:t>Reactive patterns (circuit breaker, retry/backoff) contain cascading failure after thresholds are crossed but cannot act before the first failures of a known pattern [2][14]. Predictive systems such as PreGAN+ [1], Deoxys [8], and related edge/satellite predictors [5][6] demonstrate predict-then-act behaviour with infrastructure telemetry a JDBC client typically lacks. Review-1 surveyed a broader set (21 papers); this Review-2 document cites the subset needed for methodology through conclusion and does not alter Review-1 artefacts.</w:t>
      </w:r>
    </w:p>
    <w:p>
      <w:pPr>
        <w:pStyle w:val="Heading1"/>
      </w:pPr>
      <w:r>
        <w:rPr>
          <w:rFonts w:ascii="Times New Roman" w:hAnsi="Times New Roman" w:eastAsia="Times New Roman"/>
          <w:b/>
          <w:i w:val="0"/>
          <w:sz w:val="28"/>
        </w:rPr>
        <w:t>IV. RESEARCH GAP</w:t>
      </w:r>
    </w:p>
    <w:p>
      <w:pPr>
        <w:spacing w:after="160" w:line="276" w:lineRule="auto"/>
      </w:pPr>
      <w:r>
        <w:rPr>
          <w:rFonts w:ascii="Times New Roman" w:hAnsi="Times New Roman" w:eastAsia="Times New Roman"/>
          <w:b w:val="0"/>
          <w:i w:val="0"/>
          <w:sz w:val="22"/>
        </w:rPr>
        <w:t>Gap: an application-level JDBC pool that treats its own failure history as a first-class signal for pre-emptive per-request routing and pre-warming, without external telemetry — evaluated honestly against both reactive failover and a circuit-breaker baseline.</w:t>
      </w:r>
    </w:p>
    <w:p>
      <w:pPr>
        <w:pStyle w:val="Heading1"/>
      </w:pPr>
      <w:r>
        <w:rPr>
          <w:rFonts w:ascii="Times New Roman" w:hAnsi="Times New Roman" w:eastAsia="Times New Roman"/>
          <w:b/>
          <w:i w:val="0"/>
          <w:sz w:val="28"/>
        </w:rPr>
        <w:t>3. PROPOSED METHODOLOGY / PROPOSED SYSTEM</w:t>
      </w:r>
    </w:p>
    <w:p>
      <w:pPr>
        <w:pStyle w:val="Heading2"/>
      </w:pPr>
      <w:r>
        <w:rPr>
          <w:rFonts w:ascii="Times New Roman" w:hAnsi="Times New Roman" w:eastAsia="Times New Roman"/>
          <w:b/>
          <w:i w:val="0"/>
          <w:sz w:val="24"/>
        </w:rPr>
        <w:t>3.1 Overall Methodology</w:t>
      </w:r>
    </w:p>
    <w:p>
      <w:pPr>
        <w:spacing w:after="160" w:line="276" w:lineRule="auto"/>
      </w:pPr>
      <w:r>
        <w:rPr>
          <w:rFonts w:ascii="Times New Roman" w:hAnsi="Times New Roman" w:eastAsia="Times New Roman"/>
          <w:b w:val="0"/>
          <w:i w:val="0"/>
          <w:sz w:val="22"/>
        </w:rPr>
        <w:t>Layered development: domain models → Layer 1 history/analysis → Layer 2 scoring/routing → Layer 3 pre-warm/recovery → ConnectionPool orchestration (predictive / reactive / circuit-breaker) → honest ExperimentRunner → Advanced Java integrations (named ThreadGroup workers, Spring-compatible lifecycle class, RMI management, Swing monitoring dashboard).</w:t>
      </w:r>
    </w:p>
    <w:p>
      <w:pPr>
        <w:pStyle w:val="Heading2"/>
      </w:pPr>
      <w:r>
        <w:rPr>
          <w:rFonts w:ascii="Times New Roman" w:hAnsi="Times New Roman" w:eastAsia="Times New Roman"/>
          <w:b/>
          <w:i w:val="0"/>
          <w:sz w:val="24"/>
        </w:rPr>
        <w:t>3.2 System Architecture</w:t>
      </w:r>
    </w:p>
    <w:p>
      <w:pPr>
        <w:spacing w:after="160" w:line="276" w:lineRule="auto"/>
      </w:pPr>
      <w:r>
        <w:rPr>
          <w:rFonts w:ascii="Times New Roman" w:hAnsi="Times New Roman" w:eastAsia="Times New Roman"/>
          <w:b w:val="0"/>
          <w:i w:val="0"/>
          <w:sz w:val="20"/>
        </w:rPr>
        <w:t>Application → ConnectionPool.getConnection()</w:t>
        <w:br/>
        <w:t xml:space="preserve">    ├─ RoutingDecider ← PredictionEngine ← EndpointRiskProfile</w:t>
        <w:br/>
        <w:t xml:space="preserve">    │       ↑                    ↑</w:t>
        <w:br/>
        <w:t xml:space="preserve">    │   PatternAnalyzer + ResetPatternDetector ← FailureHistoryStore</w:t>
        <w:br/>
        <w:t xml:space="preserve">    ├─ WarmPool / BackupPreWarmer (pre-warm + recovery probes)</w:t>
        <w:br/>
        <w:t xml:space="preserve">    ├─ IdleConnectionPool (real reuse; experiments disable reuse for routing purity)</w:t>
        <w:br/>
        <w:t xml:space="preserve">    ├─ EndpointConnector (Flaky simulator or JdbcEndpointConnector)</w:t>
        <w:br/>
        <w:t xml:space="preserve">    └─ PoolMetrics + MonitoringDashboard (Swing) + PoolLifecycle / RMI</w:t>
        <w:br/>
        <w:t>Background: ScheduledExecutorService in ThreadGroup "pap-monitoring"</w:t>
      </w:r>
    </w:p>
    <w:p>
      <w:pPr>
        <w:pStyle w:val="Heading2"/>
      </w:pPr>
      <w:r>
        <w:rPr>
          <w:rFonts w:ascii="Times New Roman" w:hAnsi="Times New Roman" w:eastAsia="Times New Roman"/>
          <w:b/>
          <w:i w:val="0"/>
          <w:sz w:val="24"/>
        </w:rPr>
        <w:t>3.3 Detailed Approach</w:t>
      </w:r>
    </w:p>
    <w:p>
      <w:pPr>
        <w:spacing w:after="160" w:line="276" w:lineRule="auto"/>
      </w:pPr>
      <w:r>
        <w:rPr>
          <w:rFonts w:ascii="Times New Roman" w:hAnsi="Times New Roman" w:eastAsia="Times New Roman"/>
          <w:b w:val="0"/>
          <w:i w:val="0"/>
          <w:sz w:val="22"/>
        </w:rPr>
        <w:t>Routing avoids the requested endpoint when ANY of: (1) weighted risk ≥ threshold; (2) hot hour — enough samples and plain failure rate ≥ hotHourThreshold; (3) live cluster — currentRunLength ≥ clusterAvoidRun; (4) reset predicted — success streak ≥ detected period P−1 (one-shot). Attribution order: HOT_HOUR → LIVE_CLUSTER → RESET_PREDICTED → SCORE. BackupPreWarmer pre-warms when risk/hot-hour is imminent and probes primary while avoided or while a live cluster is sticky so traffic can return. IdleConnectionPool provides real pooling; PapConnection.close() returns handles when reuse is enabled.</w:t>
      </w:r>
    </w:p>
    <w:p>
      <w:pPr>
        <w:pStyle w:val="Heading2"/>
      </w:pPr>
      <w:r>
        <w:rPr>
          <w:rFonts w:ascii="Times New Roman" w:hAnsi="Times New Roman" w:eastAsia="Times New Roman"/>
          <w:b/>
          <w:i w:val="0"/>
          <w:sz w:val="24"/>
        </w:rPr>
        <w:t>3.4 Algorithms</w:t>
      </w:r>
    </w:p>
    <w:p>
      <w:pPr>
        <w:spacing w:after="160" w:line="276" w:lineRule="auto"/>
      </w:pPr>
      <w:r>
        <w:rPr>
          <w:rFonts w:ascii="Times New Roman" w:hAnsi="Times New Roman" w:eastAsia="Times New Roman"/>
          <w:b w:val="0"/>
          <w:i w:val="0"/>
          <w:sz w:val="20"/>
        </w:rPr>
        <w:t>EWMA hourly update (α=0.35 after warm-up); plain rate = failures/samples for hot-hour gating; run-length clustering; risk = α·tod + β·clusterPenalty + γ·recent; reset period = median of last three completed success-streaks (≥10) if within ±2; circuit breaker = open after 3 consecutive primary failures for 60s (MutableClock), then one half-open probe.</w:t>
      </w:r>
    </w:p>
    <w:p>
      <w:pPr>
        <w:pStyle w:val="Heading1"/>
      </w:pPr>
      <w:r>
        <w:rPr>
          <w:rFonts w:ascii="Times New Roman" w:hAnsi="Times New Roman" w:eastAsia="Times New Roman"/>
          <w:b/>
          <w:i w:val="0"/>
          <w:sz w:val="28"/>
        </w:rPr>
        <w:t>4. IMPLEMENTATION / EXPERIMENTAL SETUP</w:t>
      </w:r>
    </w:p>
    <w:p>
      <w:pPr>
        <w:pStyle w:val="Heading2"/>
      </w:pPr>
      <w:r>
        <w:rPr>
          <w:rFonts w:ascii="Times New Roman" w:hAnsi="Times New Roman" w:eastAsia="Times New Roman"/>
          <w:b/>
          <w:i w:val="0"/>
          <w:sz w:val="24"/>
        </w:rPr>
        <w:t>4.1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i w:val="0"/>
                <w:sz w:val="20"/>
              </w:rPr>
              <w:t>Component</w:t>
            </w:r>
          </w:p>
        </w:tc>
        <w:tc>
          <w:tcPr>
            <w:tcW w:type="dxa" w:w="4680"/>
          </w:tcPr>
          <w:p>
            <w:r>
              <w:rPr>
                <w:rFonts w:ascii="Times New Roman" w:hAnsi="Times New Roman" w:eastAsia="Times New Roman"/>
                <w:b/>
                <w:i w:val="0"/>
                <w:sz w:val="20"/>
              </w:rPr>
              <w:t>Specification</w:t>
            </w:r>
          </w:p>
        </w:tc>
      </w:tr>
      <w:tr>
        <w:tc>
          <w:tcPr>
            <w:tcW w:type="dxa" w:w="4680"/>
          </w:tcPr>
          <w:p>
            <w:r>
              <w:rPr>
                <w:rFonts w:ascii="Times New Roman" w:hAnsi="Times New Roman" w:eastAsia="Times New Roman"/>
                <w:b w:val="0"/>
                <w:i w:val="0"/>
                <w:sz w:val="20"/>
              </w:rPr>
              <w:t>JDK</w:t>
            </w:r>
          </w:p>
        </w:tc>
        <w:tc>
          <w:tcPr>
            <w:tcW w:type="dxa" w:w="4680"/>
          </w:tcPr>
          <w:p>
            <w:r>
              <w:rPr>
                <w:rFonts w:ascii="Times New Roman" w:hAnsi="Times New Roman" w:eastAsia="Times New Roman"/>
                <w:b w:val="0"/>
                <w:i w:val="0"/>
                <w:sz w:val="20"/>
              </w:rPr>
              <w:t>17+ (tested on Temurin 25)</w:t>
            </w:r>
          </w:p>
        </w:tc>
      </w:tr>
      <w:tr>
        <w:tc>
          <w:tcPr>
            <w:tcW w:type="dxa" w:w="4680"/>
          </w:tcPr>
          <w:p>
            <w:r>
              <w:rPr>
                <w:rFonts w:ascii="Times New Roman" w:hAnsi="Times New Roman" w:eastAsia="Times New Roman"/>
                <w:b w:val="0"/>
                <w:i w:val="0"/>
                <w:sz w:val="20"/>
              </w:rPr>
              <w:t>Build</w:t>
            </w:r>
          </w:p>
        </w:tc>
        <w:tc>
          <w:tcPr>
            <w:tcW w:type="dxa" w:w="4680"/>
          </w:tcPr>
          <w:p>
            <w:r>
              <w:rPr>
                <w:rFonts w:ascii="Times New Roman" w:hAnsi="Times New Roman" w:eastAsia="Times New Roman"/>
                <w:b w:val="0"/>
                <w:i w:val="0"/>
                <w:sz w:val="20"/>
              </w:rPr>
              <w:t>Apache Maven 3.9.x</w:t>
            </w:r>
          </w:p>
        </w:tc>
      </w:tr>
      <w:tr>
        <w:tc>
          <w:tcPr>
            <w:tcW w:type="dxa" w:w="4680"/>
          </w:tcPr>
          <w:p>
            <w:r>
              <w:rPr>
                <w:rFonts w:ascii="Times New Roman" w:hAnsi="Times New Roman" w:eastAsia="Times New Roman"/>
                <w:b w:val="0"/>
                <w:i w:val="0"/>
                <w:sz w:val="20"/>
              </w:rPr>
              <w:t>Test</w:t>
            </w:r>
          </w:p>
        </w:tc>
        <w:tc>
          <w:tcPr>
            <w:tcW w:type="dxa" w:w="4680"/>
          </w:tcPr>
          <w:p>
            <w:r>
              <w:rPr>
                <w:rFonts w:ascii="Times New Roman" w:hAnsi="Times New Roman" w:eastAsia="Times New Roman"/>
                <w:b w:val="0"/>
                <w:i w:val="0"/>
                <w:sz w:val="20"/>
              </w:rPr>
              <w:t>JUnit 5</w:t>
            </w:r>
          </w:p>
        </w:tc>
      </w:tr>
      <w:tr>
        <w:tc>
          <w:tcPr>
            <w:tcW w:type="dxa" w:w="4680"/>
          </w:tcPr>
          <w:p>
            <w:r>
              <w:rPr>
                <w:rFonts w:ascii="Times New Roman" w:hAnsi="Times New Roman" w:eastAsia="Times New Roman"/>
                <w:b w:val="0"/>
                <w:i w:val="0"/>
                <w:sz w:val="20"/>
              </w:rPr>
              <w:t>UI</w:t>
            </w:r>
          </w:p>
        </w:tc>
        <w:tc>
          <w:tcPr>
            <w:tcW w:type="dxa" w:w="4680"/>
          </w:tcPr>
          <w:p>
            <w:r>
              <w:rPr>
                <w:rFonts w:ascii="Times New Roman" w:hAnsi="Times New Roman" w:eastAsia="Times New Roman"/>
                <w:b w:val="0"/>
                <w:i w:val="0"/>
                <w:sz w:val="20"/>
              </w:rPr>
              <w:t>Swing monitoring dashboard (not JavaFX)</w:t>
            </w:r>
          </w:p>
        </w:tc>
      </w:tr>
      <w:tr>
        <w:tc>
          <w:tcPr>
            <w:tcW w:type="dxa" w:w="4680"/>
          </w:tcPr>
          <w:p>
            <w:r>
              <w:rPr>
                <w:rFonts w:ascii="Times New Roman" w:hAnsi="Times New Roman" w:eastAsia="Times New Roman"/>
                <w:b w:val="0"/>
                <w:i w:val="0"/>
                <w:sz w:val="20"/>
              </w:rPr>
              <w:t>Lifecycle</w:t>
            </w:r>
          </w:p>
        </w:tc>
        <w:tc>
          <w:tcPr>
            <w:tcW w:type="dxa" w:w="4680"/>
          </w:tcPr>
          <w:p>
            <w:r>
              <w:rPr>
                <w:rFonts w:ascii="Times New Roman" w:hAnsi="Times New Roman" w:eastAsia="Times New Roman"/>
                <w:b w:val="0"/>
                <w:i w:val="0"/>
                <w:sz w:val="20"/>
              </w:rPr>
              <w:t>PoolLifecycle — Spring-compatible @PostConstruct/@PreDestroy style, not Spring</w:t>
            </w:r>
          </w:p>
        </w:tc>
      </w:tr>
      <w:tr>
        <w:tc>
          <w:tcPr>
            <w:tcW w:type="dxa" w:w="4680"/>
          </w:tcPr>
          <w:p>
            <w:r>
              <w:rPr>
                <w:rFonts w:ascii="Times New Roman" w:hAnsi="Times New Roman" w:eastAsia="Times New Roman"/>
                <w:b w:val="0"/>
                <w:i w:val="0"/>
                <w:sz w:val="20"/>
              </w:rPr>
              <w:t>Remote</w:t>
            </w:r>
          </w:p>
        </w:tc>
        <w:tc>
          <w:tcPr>
            <w:tcW w:type="dxa" w:w="4680"/>
          </w:tcPr>
          <w:p>
            <w:r>
              <w:rPr>
                <w:rFonts w:ascii="Times New Roman" w:hAnsi="Times New Roman" w:eastAsia="Times New Roman"/>
                <w:b w:val="0"/>
                <w:i w:val="0"/>
                <w:sz w:val="20"/>
              </w:rPr>
              <w:t>Java RMI PoolManagementRemote</w:t>
            </w:r>
          </w:p>
        </w:tc>
      </w:tr>
    </w:tbl>
    <w:p/>
    <w:p>
      <w:pPr>
        <w:pStyle w:val="Heading2"/>
      </w:pPr>
      <w:r>
        <w:rPr>
          <w:rFonts w:ascii="Times New Roman" w:hAnsi="Times New Roman" w:eastAsia="Times New Roman"/>
          <w:b/>
          <w:i w:val="0"/>
          <w:sz w:val="24"/>
        </w:rPr>
        <w:t>4.2 Experimental Protocol (Honest)</w:t>
      </w:r>
    </w:p>
    <w:p>
      <w:pPr>
        <w:spacing w:after="160" w:line="276" w:lineRule="auto"/>
      </w:pPr>
      <w:r>
        <w:rPr>
          <w:rFonts w:ascii="Times New Roman" w:hAnsi="Times New Roman" w:eastAsia="Times New Roman"/>
          <w:b w:val="0"/>
          <w:i w:val="0"/>
          <w:sz w:val="22"/>
        </w:rPr>
        <w:t>Seeds: Random 1..30 (no ThreadLocalRandom). Learning: 7 days × 24h × 12 req/h through live FlakyEndpointConnector while advancing MutableClock and calling backgroundTick every 30s simulated. Day 8 measurement windows (chronological): morning-healthy 09:15 (100), bad-window 14:20 (100), evening-stable 18:00 (80). PoolConfig.reuseEnabled=false for routing experiments. Latency is a simulated metric (bad-hour fail ≈2000 ms); connectors do not Thread.sleep. History is NOT seeded with day-8 answers. Metrics reset before each window. Results: experiment_runs.csv / experiment_summary.csv (mean, sd, n).</w:t>
      </w:r>
    </w:p>
    <w:p>
      <w:pPr>
        <w:pStyle w:val="Heading1"/>
      </w:pPr>
      <w:r>
        <w:rPr>
          <w:rFonts w:ascii="Times New Roman" w:hAnsi="Times New Roman" w:eastAsia="Times New Roman"/>
          <w:b/>
          <w:i w:val="0"/>
          <w:sz w:val="28"/>
        </w:rPr>
        <w:t>5. RESULTS AND DISCUSSION</w:t>
      </w:r>
    </w:p>
    <w:p>
      <w:pPr>
        <w:pStyle w:val="Heading2"/>
      </w:pPr>
      <w:r>
        <w:rPr>
          <w:rFonts w:ascii="Times New Roman" w:hAnsi="Times New Roman" w:eastAsia="Times New Roman"/>
          <w:b/>
          <w:i w:val="0"/>
          <w:sz w:val="24"/>
        </w:rPr>
        <w:t>5.1 Measured Results (from experiment_summary.csv)</w:t>
      </w:r>
    </w:p>
    <w:p>
      <w:pPr>
        <w:spacing w:after="160" w:line="276" w:lineRule="auto"/>
      </w:pPr>
      <w:r>
        <w:rPr>
          <w:rFonts w:ascii="Times New Roman" w:hAnsi="Times New Roman" w:eastAsia="Times New Roman"/>
          <w:b w:val="0"/>
          <w:i/>
          <w:sz w:val="22"/>
        </w:rPr>
        <w:t>Table II. Mean±sd over n=30 seeds. Connect failures are underlying EndpointConnector failures.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20"/>
              </w:rPr>
              <w:t>Mode</w:t>
            </w:r>
          </w:p>
        </w:tc>
        <w:tc>
          <w:tcPr>
            <w:tcW w:type="dxa" w:w="1170"/>
          </w:tcPr>
          <w:p>
            <w:r>
              <w:rPr>
                <w:rFonts w:ascii="Times New Roman" w:hAnsi="Times New Roman" w:eastAsia="Times New Roman"/>
                <w:b/>
                <w:i w:val="0"/>
                <w:sz w:val="20"/>
              </w:rPr>
              <w:t>Scenario</w:t>
            </w:r>
          </w:p>
        </w:tc>
        <w:tc>
          <w:tcPr>
            <w:tcW w:type="dxa" w:w="1170"/>
          </w:tcPr>
          <w:p>
            <w:r>
              <w:rPr>
                <w:rFonts w:ascii="Times New Roman" w:hAnsi="Times New Roman" w:eastAsia="Times New Roman"/>
                <w:b/>
                <w:i w:val="0"/>
                <w:sz w:val="20"/>
              </w:rPr>
              <w:t>Req</w:t>
            </w:r>
          </w:p>
        </w:tc>
        <w:tc>
          <w:tcPr>
            <w:tcW w:type="dxa" w:w="1170"/>
          </w:tcPr>
          <w:p>
            <w:r>
              <w:rPr>
                <w:rFonts w:ascii="Times New Roman" w:hAnsi="Times New Roman" w:eastAsia="Times New Roman"/>
                <w:b/>
                <w:i w:val="0"/>
                <w:sz w:val="20"/>
              </w:rPr>
              <w:t>Success</w:t>
            </w:r>
          </w:p>
        </w:tc>
        <w:tc>
          <w:tcPr>
            <w:tcW w:type="dxa" w:w="1170"/>
          </w:tcPr>
          <w:p>
            <w:r>
              <w:rPr>
                <w:rFonts w:ascii="Times New Roman" w:hAnsi="Times New Roman" w:eastAsia="Times New Roman"/>
                <w:b/>
                <w:i w:val="0"/>
                <w:sz w:val="20"/>
              </w:rPr>
              <w:t>Connect Failures</w:t>
            </w:r>
          </w:p>
        </w:tc>
        <w:tc>
          <w:tcPr>
            <w:tcW w:type="dxa" w:w="1170"/>
          </w:tcPr>
          <w:p>
            <w:r>
              <w:rPr>
                <w:rFonts w:ascii="Times New Roman" w:hAnsi="Times New Roman" w:eastAsia="Times New Roman"/>
                <w:b/>
                <w:i w:val="0"/>
                <w:sz w:val="20"/>
              </w:rPr>
              <w:t>Preemptive FO</w:t>
            </w:r>
          </w:p>
        </w:tc>
        <w:tc>
          <w:tcPr>
            <w:tcW w:type="dxa" w:w="1170"/>
          </w:tcPr>
          <w:p>
            <w:r>
              <w:rPr>
                <w:rFonts w:ascii="Times New Roman" w:hAnsi="Times New Roman" w:eastAsia="Times New Roman"/>
                <w:b/>
                <w:i w:val="0"/>
                <w:sz w:val="20"/>
              </w:rPr>
              <w:t>Warm Hits</w:t>
            </w:r>
          </w:p>
        </w:tc>
        <w:tc>
          <w:tcPr>
            <w:tcW w:type="dxa" w:w="1170"/>
          </w:tcPr>
          <w:p>
            <w:r>
              <w:rPr>
                <w:rFonts w:ascii="Times New Roman" w:hAnsi="Times New Roman" w:eastAsia="Times New Roman"/>
                <w:b/>
                <w:i w:val="0"/>
                <w:sz w:val="20"/>
              </w:rPr>
              <w:t>Backup Sel</w:t>
            </w:r>
          </w:p>
        </w:tc>
      </w:tr>
      <w:tr>
        <w:tc>
          <w:tcPr>
            <w:tcW w:type="dxa" w:w="1170"/>
          </w:tcPr>
          <w:p>
            <w:r>
              <w:rPr>
                <w:rFonts w:ascii="Times New Roman" w:hAnsi="Times New Roman" w:eastAsia="Times New Roman"/>
                <w:b w:val="0"/>
                <w:i w:val="0"/>
                <w:sz w:val="20"/>
              </w:rPr>
              <w:t>reactive</w:t>
            </w:r>
          </w:p>
        </w:tc>
        <w:tc>
          <w:tcPr>
            <w:tcW w:type="dxa" w:w="1170"/>
          </w:tcPr>
          <w:p>
            <w:r>
              <w:rPr>
                <w:rFonts w:ascii="Times New Roman" w:hAnsi="Times New Roman" w:eastAsia="Times New Roman"/>
                <w:b w:val="0"/>
                <w:i w:val="0"/>
                <w:sz w:val="20"/>
              </w:rPr>
              <w:t>morning-healthy</w:t>
            </w:r>
          </w:p>
        </w:tc>
        <w:tc>
          <w:tcPr>
            <w:tcW w:type="dxa" w:w="1170"/>
          </w:tcPr>
          <w:p>
            <w:r>
              <w:rPr>
                <w:rFonts w:ascii="Times New Roman" w:hAnsi="Times New Roman" w:eastAsia="Times New Roman"/>
                <w:b w:val="0"/>
                <w:i w:val="0"/>
                <w:sz w:val="20"/>
              </w:rPr>
              <w:t>100</w:t>
            </w:r>
          </w:p>
        </w:tc>
        <w:tc>
          <w:tcPr>
            <w:tcW w:type="dxa" w:w="1170"/>
          </w:tcPr>
          <w:p>
            <w:r>
              <w:rPr>
                <w:rFonts w:ascii="Times New Roman" w:hAnsi="Times New Roman" w:eastAsia="Times New Roman"/>
                <w:b w:val="0"/>
                <w:i w:val="0"/>
                <w:sz w:val="20"/>
              </w:rPr>
              <w:t>99.8%±0.4</w:t>
            </w:r>
          </w:p>
        </w:tc>
        <w:tc>
          <w:tcPr>
            <w:tcW w:type="dxa" w:w="1170"/>
          </w:tcPr>
          <w:p>
            <w:r>
              <w:rPr>
                <w:rFonts w:ascii="Times New Roman" w:hAnsi="Times New Roman" w:eastAsia="Times New Roman"/>
                <w:b w:val="0"/>
                <w:i w:val="0"/>
                <w:sz w:val="20"/>
              </w:rPr>
              <w:t>19.3±6.5</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18.8±6.3</w:t>
            </w:r>
          </w:p>
        </w:tc>
      </w:tr>
      <w:tr>
        <w:tc>
          <w:tcPr>
            <w:tcW w:type="dxa" w:w="1170"/>
          </w:tcPr>
          <w:p>
            <w:r>
              <w:rPr>
                <w:rFonts w:ascii="Times New Roman" w:hAnsi="Times New Roman" w:eastAsia="Times New Roman"/>
                <w:b w:val="0"/>
                <w:i w:val="0"/>
                <w:sz w:val="20"/>
              </w:rPr>
              <w:t>circuit_breaker</w:t>
            </w:r>
          </w:p>
        </w:tc>
        <w:tc>
          <w:tcPr>
            <w:tcW w:type="dxa" w:w="1170"/>
          </w:tcPr>
          <w:p>
            <w:r>
              <w:rPr>
                <w:rFonts w:ascii="Times New Roman" w:hAnsi="Times New Roman" w:eastAsia="Times New Roman"/>
                <w:b w:val="0"/>
                <w:i w:val="0"/>
                <w:sz w:val="20"/>
              </w:rPr>
              <w:t>morning-healthy</w:t>
            </w:r>
          </w:p>
        </w:tc>
        <w:tc>
          <w:tcPr>
            <w:tcW w:type="dxa" w:w="1170"/>
          </w:tcPr>
          <w:p>
            <w:r>
              <w:rPr>
                <w:rFonts w:ascii="Times New Roman" w:hAnsi="Times New Roman" w:eastAsia="Times New Roman"/>
                <w:b w:val="0"/>
                <w:i w:val="0"/>
                <w:sz w:val="20"/>
              </w:rPr>
              <w:t>100</w:t>
            </w:r>
          </w:p>
        </w:tc>
        <w:tc>
          <w:tcPr>
            <w:tcW w:type="dxa" w:w="1170"/>
          </w:tcPr>
          <w:p>
            <w:r>
              <w:rPr>
                <w:rFonts w:ascii="Times New Roman" w:hAnsi="Times New Roman" w:eastAsia="Times New Roman"/>
                <w:b w:val="0"/>
                <w:i w:val="0"/>
                <w:sz w:val="20"/>
              </w:rPr>
              <w:t>98.9%±1.0</w:t>
            </w:r>
          </w:p>
        </w:tc>
        <w:tc>
          <w:tcPr>
            <w:tcW w:type="dxa" w:w="1170"/>
          </w:tcPr>
          <w:p>
            <w:r>
              <w:rPr>
                <w:rFonts w:ascii="Times New Roman" w:hAnsi="Times New Roman" w:eastAsia="Times New Roman"/>
                <w:b w:val="0"/>
                <w:i w:val="0"/>
                <w:sz w:val="20"/>
              </w:rPr>
              <w:t>5.4±1.1</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88.8±12.1</w:t>
            </w:r>
          </w:p>
        </w:tc>
      </w:tr>
      <w:tr>
        <w:tc>
          <w:tcPr>
            <w:tcW w:type="dxa" w:w="1170"/>
          </w:tcPr>
          <w:p>
            <w:r>
              <w:rPr>
                <w:rFonts w:ascii="Times New Roman" w:hAnsi="Times New Roman" w:eastAsia="Times New Roman"/>
                <w:b w:val="0"/>
                <w:i w:val="0"/>
                <w:sz w:val="20"/>
              </w:rPr>
              <w:t>predictive</w:t>
            </w:r>
          </w:p>
        </w:tc>
        <w:tc>
          <w:tcPr>
            <w:tcW w:type="dxa" w:w="1170"/>
          </w:tcPr>
          <w:p>
            <w:r>
              <w:rPr>
                <w:rFonts w:ascii="Times New Roman" w:hAnsi="Times New Roman" w:eastAsia="Times New Roman"/>
                <w:b w:val="0"/>
                <w:i w:val="0"/>
                <w:sz w:val="20"/>
              </w:rPr>
              <w:t>morning-healthy</w:t>
            </w:r>
          </w:p>
        </w:tc>
        <w:tc>
          <w:tcPr>
            <w:tcW w:type="dxa" w:w="1170"/>
          </w:tcPr>
          <w:p>
            <w:r>
              <w:rPr>
                <w:rFonts w:ascii="Times New Roman" w:hAnsi="Times New Roman" w:eastAsia="Times New Roman"/>
                <w:b w:val="0"/>
                <w:i w:val="0"/>
                <w:sz w:val="20"/>
              </w:rPr>
              <w:t>100</w:t>
            </w:r>
          </w:p>
        </w:tc>
        <w:tc>
          <w:tcPr>
            <w:tcW w:type="dxa" w:w="1170"/>
          </w:tcPr>
          <w:p>
            <w:r>
              <w:rPr>
                <w:rFonts w:ascii="Times New Roman" w:hAnsi="Times New Roman" w:eastAsia="Times New Roman"/>
                <w:b w:val="0"/>
                <w:i w:val="0"/>
                <w:sz w:val="20"/>
              </w:rPr>
              <w:t>99.9%±0.3</w:t>
            </w:r>
          </w:p>
        </w:tc>
        <w:tc>
          <w:tcPr>
            <w:tcW w:type="dxa" w:w="1170"/>
          </w:tcPr>
          <w:p>
            <w:r>
              <w:rPr>
                <w:rFonts w:ascii="Times New Roman" w:hAnsi="Times New Roman" w:eastAsia="Times New Roman"/>
                <w:b w:val="0"/>
                <w:i w:val="0"/>
                <w:sz w:val="20"/>
              </w:rPr>
              <w:t>11.9±3.4</w:t>
            </w:r>
          </w:p>
        </w:tc>
        <w:tc>
          <w:tcPr>
            <w:tcW w:type="dxa" w:w="1170"/>
          </w:tcPr>
          <w:p>
            <w:r>
              <w:rPr>
                <w:rFonts w:ascii="Times New Roman" w:hAnsi="Times New Roman" w:eastAsia="Times New Roman"/>
                <w:b w:val="0"/>
                <w:i w:val="0"/>
                <w:sz w:val="20"/>
              </w:rPr>
              <w:t>18.7±9.8</w:t>
            </w:r>
          </w:p>
        </w:tc>
        <w:tc>
          <w:tcPr>
            <w:tcW w:type="dxa" w:w="1170"/>
          </w:tcPr>
          <w:p>
            <w:r>
              <w:rPr>
                <w:rFonts w:ascii="Times New Roman" w:hAnsi="Times New Roman" w:eastAsia="Times New Roman"/>
                <w:b w:val="0"/>
                <w:i w:val="0"/>
                <w:sz w:val="20"/>
              </w:rPr>
              <w:t>18.7±9.8</w:t>
            </w:r>
          </w:p>
        </w:tc>
        <w:tc>
          <w:tcPr>
            <w:tcW w:type="dxa" w:w="1170"/>
          </w:tcPr>
          <w:p>
            <w:r>
              <w:rPr>
                <w:rFonts w:ascii="Times New Roman" w:hAnsi="Times New Roman" w:eastAsia="Times New Roman"/>
                <w:b w:val="0"/>
                <w:i w:val="0"/>
                <w:sz w:val="20"/>
              </w:rPr>
              <w:t>30.4±12.0</w:t>
            </w:r>
          </w:p>
        </w:tc>
      </w:tr>
      <w:tr>
        <w:tc>
          <w:tcPr>
            <w:tcW w:type="dxa" w:w="1170"/>
          </w:tcPr>
          <w:p>
            <w:r>
              <w:rPr>
                <w:rFonts w:ascii="Times New Roman" w:hAnsi="Times New Roman" w:eastAsia="Times New Roman"/>
                <w:b w:val="0"/>
                <w:i w:val="0"/>
                <w:sz w:val="20"/>
              </w:rPr>
              <w:t>reactive</w:t>
            </w:r>
          </w:p>
        </w:tc>
        <w:tc>
          <w:tcPr>
            <w:tcW w:type="dxa" w:w="1170"/>
          </w:tcPr>
          <w:p>
            <w:r>
              <w:rPr>
                <w:rFonts w:ascii="Times New Roman" w:hAnsi="Times New Roman" w:eastAsia="Times New Roman"/>
                <w:b w:val="0"/>
                <w:i w:val="0"/>
                <w:sz w:val="20"/>
              </w:rPr>
              <w:t>bad-window</w:t>
            </w:r>
          </w:p>
        </w:tc>
        <w:tc>
          <w:tcPr>
            <w:tcW w:type="dxa" w:w="1170"/>
          </w:tcPr>
          <w:p>
            <w:r>
              <w:rPr>
                <w:rFonts w:ascii="Times New Roman" w:hAnsi="Times New Roman" w:eastAsia="Times New Roman"/>
                <w:b w:val="0"/>
                <w:i w:val="0"/>
                <w:sz w:val="20"/>
              </w:rPr>
              <w:t>100</w:t>
            </w:r>
          </w:p>
        </w:tc>
        <w:tc>
          <w:tcPr>
            <w:tcW w:type="dxa" w:w="1170"/>
          </w:tcPr>
          <w:p>
            <w:r>
              <w:rPr>
                <w:rFonts w:ascii="Times New Roman" w:hAnsi="Times New Roman" w:eastAsia="Times New Roman"/>
                <w:b w:val="0"/>
                <w:i w:val="0"/>
                <w:sz w:val="20"/>
              </w:rPr>
              <w:t>98.9%±1.0</w:t>
            </w:r>
          </w:p>
        </w:tc>
        <w:tc>
          <w:tcPr>
            <w:tcW w:type="dxa" w:w="1170"/>
          </w:tcPr>
          <w:p>
            <w:r>
              <w:rPr>
                <w:rFonts w:ascii="Times New Roman" w:hAnsi="Times New Roman" w:eastAsia="Times New Roman"/>
                <w:b w:val="0"/>
                <w:i w:val="0"/>
                <w:sz w:val="20"/>
              </w:rPr>
              <w:t>85.9±4.0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83.7±3.5</w:t>
            </w:r>
          </w:p>
        </w:tc>
      </w:tr>
      <w:tr>
        <w:tc>
          <w:tcPr>
            <w:tcW w:type="dxa" w:w="1170"/>
          </w:tcPr>
          <w:p>
            <w:r>
              <w:rPr>
                <w:rFonts w:ascii="Times New Roman" w:hAnsi="Times New Roman" w:eastAsia="Times New Roman"/>
                <w:b w:val="0"/>
                <w:i w:val="0"/>
                <w:sz w:val="20"/>
              </w:rPr>
              <w:t>circuit_breaker</w:t>
            </w:r>
          </w:p>
        </w:tc>
        <w:tc>
          <w:tcPr>
            <w:tcW w:type="dxa" w:w="1170"/>
          </w:tcPr>
          <w:p>
            <w:r>
              <w:rPr>
                <w:rFonts w:ascii="Times New Roman" w:hAnsi="Times New Roman" w:eastAsia="Times New Roman"/>
                <w:b w:val="0"/>
                <w:i w:val="0"/>
                <w:sz w:val="20"/>
              </w:rPr>
              <w:t>bad-window</w:t>
            </w:r>
          </w:p>
        </w:tc>
        <w:tc>
          <w:tcPr>
            <w:tcW w:type="dxa" w:w="1170"/>
          </w:tcPr>
          <w:p>
            <w:r>
              <w:rPr>
                <w:rFonts w:ascii="Times New Roman" w:hAnsi="Times New Roman" w:eastAsia="Times New Roman"/>
                <w:b w:val="0"/>
                <w:i w:val="0"/>
                <w:sz w:val="20"/>
              </w:rPr>
              <w:t>100</w:t>
            </w:r>
          </w:p>
        </w:tc>
        <w:tc>
          <w:tcPr>
            <w:tcW w:type="dxa" w:w="1170"/>
          </w:tcPr>
          <w:p>
            <w:r>
              <w:rPr>
                <w:rFonts w:ascii="Times New Roman" w:hAnsi="Times New Roman" w:eastAsia="Times New Roman"/>
                <w:b w:val="0"/>
                <w:i w:val="0"/>
                <w:sz w:val="20"/>
              </w:rPr>
              <w:t>99.0%±0.9</w:t>
            </w:r>
          </w:p>
        </w:tc>
        <w:tc>
          <w:tcPr>
            <w:tcW w:type="dxa" w:w="1170"/>
          </w:tcPr>
          <w:p>
            <w:r>
              <w:rPr>
                <w:rFonts w:ascii="Times New Roman" w:hAnsi="Times New Roman" w:eastAsia="Times New Roman"/>
                <w:b w:val="0"/>
                <w:i w:val="0"/>
                <w:sz w:val="20"/>
              </w:rPr>
              <w:t>3.2±1.1</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99.9±0.6</w:t>
            </w:r>
          </w:p>
        </w:tc>
      </w:tr>
      <w:tr>
        <w:tc>
          <w:tcPr>
            <w:tcW w:type="dxa" w:w="1170"/>
          </w:tcPr>
          <w:p>
            <w:r>
              <w:rPr>
                <w:rFonts w:ascii="Times New Roman" w:hAnsi="Times New Roman" w:eastAsia="Times New Roman"/>
                <w:b w:val="0"/>
                <w:i w:val="0"/>
                <w:sz w:val="20"/>
              </w:rPr>
              <w:t>predictive</w:t>
            </w:r>
          </w:p>
        </w:tc>
        <w:tc>
          <w:tcPr>
            <w:tcW w:type="dxa" w:w="1170"/>
          </w:tcPr>
          <w:p>
            <w:r>
              <w:rPr>
                <w:rFonts w:ascii="Times New Roman" w:hAnsi="Times New Roman" w:eastAsia="Times New Roman"/>
                <w:b w:val="0"/>
                <w:i w:val="0"/>
                <w:sz w:val="20"/>
              </w:rPr>
              <w:t>bad-window</w:t>
            </w:r>
          </w:p>
        </w:tc>
        <w:tc>
          <w:tcPr>
            <w:tcW w:type="dxa" w:w="1170"/>
          </w:tcPr>
          <w:p>
            <w:r>
              <w:rPr>
                <w:rFonts w:ascii="Times New Roman" w:hAnsi="Times New Roman" w:eastAsia="Times New Roman"/>
                <w:b w:val="0"/>
                <w:i w:val="0"/>
                <w:sz w:val="20"/>
              </w:rPr>
              <w:t>100</w:t>
            </w:r>
          </w:p>
        </w:tc>
        <w:tc>
          <w:tcPr>
            <w:tcW w:type="dxa" w:w="1170"/>
          </w:tcPr>
          <w:p>
            <w:r>
              <w:rPr>
                <w:rFonts w:ascii="Times New Roman" w:hAnsi="Times New Roman" w:eastAsia="Times New Roman"/>
                <w:b w:val="0"/>
                <w:i w:val="0"/>
                <w:sz w:val="20"/>
              </w:rPr>
              <w:t>100.0%±0.0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100.0±0.0</w:t>
            </w:r>
          </w:p>
        </w:tc>
        <w:tc>
          <w:tcPr>
            <w:tcW w:type="dxa" w:w="1170"/>
          </w:tcPr>
          <w:p>
            <w:r>
              <w:rPr>
                <w:rFonts w:ascii="Times New Roman" w:hAnsi="Times New Roman" w:eastAsia="Times New Roman"/>
                <w:b w:val="0"/>
                <w:i w:val="0"/>
                <w:sz w:val="20"/>
              </w:rPr>
              <w:t>100.0±0.0</w:t>
            </w:r>
          </w:p>
        </w:tc>
        <w:tc>
          <w:tcPr>
            <w:tcW w:type="dxa" w:w="1170"/>
          </w:tcPr>
          <w:p>
            <w:r>
              <w:rPr>
                <w:rFonts w:ascii="Times New Roman" w:hAnsi="Times New Roman" w:eastAsia="Times New Roman"/>
                <w:b w:val="0"/>
                <w:i w:val="0"/>
                <w:sz w:val="20"/>
              </w:rPr>
              <w:t>100.0±0.0</w:t>
            </w:r>
          </w:p>
        </w:tc>
      </w:tr>
      <w:tr>
        <w:tc>
          <w:tcPr>
            <w:tcW w:type="dxa" w:w="1170"/>
          </w:tcPr>
          <w:p>
            <w:r>
              <w:rPr>
                <w:rFonts w:ascii="Times New Roman" w:hAnsi="Times New Roman" w:eastAsia="Times New Roman"/>
                <w:b w:val="0"/>
                <w:i w:val="0"/>
                <w:sz w:val="20"/>
              </w:rPr>
              <w:t>reactive</w:t>
            </w:r>
          </w:p>
        </w:tc>
        <w:tc>
          <w:tcPr>
            <w:tcW w:type="dxa" w:w="1170"/>
          </w:tcPr>
          <w:p>
            <w:r>
              <w:rPr>
                <w:rFonts w:ascii="Times New Roman" w:hAnsi="Times New Roman" w:eastAsia="Times New Roman"/>
                <w:b w:val="0"/>
                <w:i w:val="0"/>
                <w:sz w:val="20"/>
              </w:rPr>
              <w:t>evening-stable</w:t>
            </w:r>
          </w:p>
        </w:tc>
        <w:tc>
          <w:tcPr>
            <w:tcW w:type="dxa" w:w="1170"/>
          </w:tcPr>
          <w:p>
            <w:r>
              <w:rPr>
                <w:rFonts w:ascii="Times New Roman" w:hAnsi="Times New Roman" w:eastAsia="Times New Roman"/>
                <w:b w:val="0"/>
                <w:i w:val="0"/>
                <w:sz w:val="20"/>
              </w:rPr>
              <w:t>80</w:t>
            </w:r>
          </w:p>
        </w:tc>
        <w:tc>
          <w:tcPr>
            <w:tcW w:type="dxa" w:w="1170"/>
          </w:tcPr>
          <w:p>
            <w:r>
              <w:rPr>
                <w:rFonts w:ascii="Times New Roman" w:hAnsi="Times New Roman" w:eastAsia="Times New Roman"/>
                <w:b w:val="0"/>
                <w:i w:val="0"/>
                <w:sz w:val="20"/>
              </w:rPr>
              <w:t>99.8%±0.5</w:t>
            </w:r>
          </w:p>
        </w:tc>
        <w:tc>
          <w:tcPr>
            <w:tcW w:type="dxa" w:w="1170"/>
          </w:tcPr>
          <w:p>
            <w:r>
              <w:rPr>
                <w:rFonts w:ascii="Times New Roman" w:hAnsi="Times New Roman" w:eastAsia="Times New Roman"/>
                <w:b w:val="0"/>
                <w:i w:val="0"/>
                <w:sz w:val="20"/>
              </w:rPr>
              <w:t>15.1±5.3</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14.7±5.4</w:t>
            </w:r>
          </w:p>
        </w:tc>
      </w:tr>
      <w:tr>
        <w:tc>
          <w:tcPr>
            <w:tcW w:type="dxa" w:w="1170"/>
          </w:tcPr>
          <w:p>
            <w:r>
              <w:rPr>
                <w:rFonts w:ascii="Times New Roman" w:hAnsi="Times New Roman" w:eastAsia="Times New Roman"/>
                <w:b w:val="0"/>
                <w:i w:val="0"/>
                <w:sz w:val="20"/>
              </w:rPr>
              <w:t>circuit_breaker</w:t>
            </w:r>
          </w:p>
        </w:tc>
        <w:tc>
          <w:tcPr>
            <w:tcW w:type="dxa" w:w="1170"/>
          </w:tcPr>
          <w:p>
            <w:r>
              <w:rPr>
                <w:rFonts w:ascii="Times New Roman" w:hAnsi="Times New Roman" w:eastAsia="Times New Roman"/>
                <w:b w:val="0"/>
                <w:i w:val="0"/>
                <w:sz w:val="20"/>
              </w:rPr>
              <w:t>evening-stable</w:t>
            </w:r>
          </w:p>
        </w:tc>
        <w:tc>
          <w:tcPr>
            <w:tcW w:type="dxa" w:w="1170"/>
          </w:tcPr>
          <w:p>
            <w:r>
              <w:rPr>
                <w:rFonts w:ascii="Times New Roman" w:hAnsi="Times New Roman" w:eastAsia="Times New Roman"/>
                <w:b w:val="0"/>
                <w:i w:val="0"/>
                <w:sz w:val="20"/>
              </w:rPr>
              <w:t>80</w:t>
            </w:r>
          </w:p>
        </w:tc>
        <w:tc>
          <w:tcPr>
            <w:tcW w:type="dxa" w:w="1170"/>
          </w:tcPr>
          <w:p>
            <w:r>
              <w:rPr>
                <w:rFonts w:ascii="Times New Roman" w:hAnsi="Times New Roman" w:eastAsia="Times New Roman"/>
                <w:b w:val="0"/>
                <w:i w:val="0"/>
                <w:sz w:val="20"/>
              </w:rPr>
              <w:t>99.4%±0.8</w:t>
            </w:r>
          </w:p>
        </w:tc>
        <w:tc>
          <w:tcPr>
            <w:tcW w:type="dxa" w:w="1170"/>
          </w:tcPr>
          <w:p>
            <w:r>
              <w:rPr>
                <w:rFonts w:ascii="Times New Roman" w:hAnsi="Times New Roman" w:eastAsia="Times New Roman"/>
                <w:b w:val="0"/>
                <w:i w:val="0"/>
                <w:sz w:val="20"/>
              </w:rPr>
              <w:t>5.0±1.4</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0.0±0.0</w:t>
            </w:r>
          </w:p>
        </w:tc>
        <w:tc>
          <w:tcPr>
            <w:tcW w:type="dxa" w:w="1170"/>
          </w:tcPr>
          <w:p>
            <w:r>
              <w:rPr>
                <w:rFonts w:ascii="Times New Roman" w:hAnsi="Times New Roman" w:eastAsia="Times New Roman"/>
                <w:b w:val="0"/>
                <w:i w:val="0"/>
                <w:sz w:val="20"/>
              </w:rPr>
              <w:t>50.8±21.4</w:t>
            </w:r>
          </w:p>
        </w:tc>
      </w:tr>
      <w:tr>
        <w:tc>
          <w:tcPr>
            <w:tcW w:type="dxa" w:w="1170"/>
          </w:tcPr>
          <w:p>
            <w:r>
              <w:rPr>
                <w:rFonts w:ascii="Times New Roman" w:hAnsi="Times New Roman" w:eastAsia="Times New Roman"/>
                <w:b w:val="0"/>
                <w:i w:val="0"/>
                <w:sz w:val="20"/>
              </w:rPr>
              <w:t>predictive</w:t>
            </w:r>
          </w:p>
        </w:tc>
        <w:tc>
          <w:tcPr>
            <w:tcW w:type="dxa" w:w="1170"/>
          </w:tcPr>
          <w:p>
            <w:r>
              <w:rPr>
                <w:rFonts w:ascii="Times New Roman" w:hAnsi="Times New Roman" w:eastAsia="Times New Roman"/>
                <w:b w:val="0"/>
                <w:i w:val="0"/>
                <w:sz w:val="20"/>
              </w:rPr>
              <w:t>evening-stable</w:t>
            </w:r>
          </w:p>
        </w:tc>
        <w:tc>
          <w:tcPr>
            <w:tcW w:type="dxa" w:w="1170"/>
          </w:tcPr>
          <w:p>
            <w:r>
              <w:rPr>
                <w:rFonts w:ascii="Times New Roman" w:hAnsi="Times New Roman" w:eastAsia="Times New Roman"/>
                <w:b w:val="0"/>
                <w:i w:val="0"/>
                <w:sz w:val="20"/>
              </w:rPr>
              <w:t>80</w:t>
            </w:r>
          </w:p>
        </w:tc>
        <w:tc>
          <w:tcPr>
            <w:tcW w:type="dxa" w:w="1170"/>
          </w:tcPr>
          <w:p>
            <w:r>
              <w:rPr>
                <w:rFonts w:ascii="Times New Roman" w:hAnsi="Times New Roman" w:eastAsia="Times New Roman"/>
                <w:b w:val="0"/>
                <w:i w:val="0"/>
                <w:sz w:val="20"/>
              </w:rPr>
              <w:t>99.9%±0.4</w:t>
            </w:r>
          </w:p>
        </w:tc>
        <w:tc>
          <w:tcPr>
            <w:tcW w:type="dxa" w:w="1170"/>
          </w:tcPr>
          <w:p>
            <w:r>
              <w:rPr>
                <w:rFonts w:ascii="Times New Roman" w:hAnsi="Times New Roman" w:eastAsia="Times New Roman"/>
                <w:b w:val="0"/>
                <w:i w:val="0"/>
                <w:sz w:val="20"/>
              </w:rPr>
              <w:t>9.1±3.8</w:t>
            </w:r>
          </w:p>
        </w:tc>
        <w:tc>
          <w:tcPr>
            <w:tcW w:type="dxa" w:w="1170"/>
          </w:tcPr>
          <w:p>
            <w:r>
              <w:rPr>
                <w:rFonts w:ascii="Times New Roman" w:hAnsi="Times New Roman" w:eastAsia="Times New Roman"/>
                <w:b w:val="0"/>
                <w:i w:val="0"/>
                <w:sz w:val="20"/>
              </w:rPr>
              <w:t>15.8±11.6</w:t>
            </w:r>
          </w:p>
        </w:tc>
        <w:tc>
          <w:tcPr>
            <w:tcW w:type="dxa" w:w="1170"/>
          </w:tcPr>
          <w:p>
            <w:r>
              <w:rPr>
                <w:rFonts w:ascii="Times New Roman" w:hAnsi="Times New Roman" w:eastAsia="Times New Roman"/>
                <w:b w:val="0"/>
                <w:i w:val="0"/>
                <w:sz w:val="20"/>
              </w:rPr>
              <w:t>15.8±11.6</w:t>
            </w:r>
          </w:p>
        </w:tc>
        <w:tc>
          <w:tcPr>
            <w:tcW w:type="dxa" w:w="1170"/>
          </w:tcPr>
          <w:p>
            <w:r>
              <w:rPr>
                <w:rFonts w:ascii="Times New Roman" w:hAnsi="Times New Roman" w:eastAsia="Times New Roman"/>
                <w:b w:val="0"/>
                <w:i w:val="0"/>
                <w:sz w:val="20"/>
              </w:rPr>
              <w:t>24.7±14.3</w:t>
            </w:r>
          </w:p>
        </w:tc>
      </w:tr>
    </w:tbl>
    <w:p/>
    <w:p>
      <w:pPr>
        <w:pStyle w:val="Heading2"/>
      </w:pPr>
      <w:r>
        <w:rPr>
          <w:rFonts w:ascii="Times New Roman" w:hAnsi="Times New Roman" w:eastAsia="Times New Roman"/>
          <w:b/>
          <w:i w:val="0"/>
          <w:sz w:val="24"/>
        </w:rPr>
        <w:t>5.2 Comparison with Audit Baseline</w:t>
      </w:r>
    </w:p>
    <w:p>
      <w:pPr>
        <w:spacing w:after="160" w:line="276" w:lineRule="auto"/>
      </w:pPr>
      <w:r>
        <w:rPr>
          <w:rFonts w:ascii="Times New Roman" w:hAnsi="Times New Roman" w:eastAsia="Times New Roman"/>
          <w:b w:val="0"/>
          <w:i w:val="0"/>
          <w:sz w:val="22"/>
        </w:rPr>
        <w:t>before_fixes.csv records audit-reproduced targets from the pre-fix runner that seeded patterned history then measured (including the paper's old curated 83→3 afternoon claim). Those numbers are not re-used as results. Honest day-8 bad-window connect failures: reactive 85.9±4.0, circuit breaker 3.2±1.1, predictive 0.0±0.0.</w:t>
      </w:r>
    </w:p>
    <w:p>
      <w:pPr>
        <w:pStyle w:val="Heading2"/>
      </w:pPr>
      <w:r>
        <w:rPr>
          <w:rFonts w:ascii="Times New Roman" w:hAnsi="Times New Roman" w:eastAsia="Times New Roman"/>
          <w:b/>
          <w:i w:val="0"/>
          <w:sz w:val="24"/>
        </w:rPr>
        <w:t>5.3 Discussion</w:t>
      </w:r>
    </w:p>
    <w:p>
      <w:pPr>
        <w:spacing w:after="160" w:line="276" w:lineRule="auto"/>
      </w:pPr>
      <w:r>
        <w:rPr>
          <w:rFonts w:ascii="Times New Roman" w:hAnsi="Times New Roman" w:eastAsia="Times New Roman"/>
          <w:b w:val="0"/>
          <w:i w:val="0"/>
          <w:sz w:val="22"/>
        </w:rPr>
        <w:t>In the bad window, predictive routing eliminates primary connect attempts (0.0±0.0) via hot-hour / risk failover and warm backup hits, outperforming reactive (~86 failures) and still beating the circuit breaker (~3 failures), which must open after paying initial primary failures each open cycle. Outside the bad window, circuit breaker can show fewer connect failures than predictive when predictive briefly avoids primary after live clusters; recovery probes mitigate but do not erase that trade-off. This is reported honestly.</w:t>
      </w:r>
    </w:p>
    <w:p>
      <w:pPr>
        <w:pStyle w:val="Heading2"/>
      </w:pPr>
      <w:r>
        <w:rPr>
          <w:rFonts w:ascii="Times New Roman" w:hAnsi="Times New Roman" w:eastAsia="Times New Roman"/>
          <w:b/>
          <w:i w:val="0"/>
          <w:sz w:val="24"/>
        </w:rPr>
        <w:t>5.4 Threats to Validity</w:t>
      </w:r>
    </w:p>
    <w:p>
      <w:pPr>
        <w:spacing w:after="160" w:line="276" w:lineRule="auto"/>
      </w:pPr>
      <w:r>
        <w:rPr>
          <w:rFonts w:ascii="Times New Roman" w:hAnsi="Times New Roman" w:eastAsia="Times New Roman"/>
          <w:b w:val="0"/>
          <w:i w:val="0"/>
          <w:sz w:val="22"/>
        </w:rPr>
        <w:t>Internal: simulator patterns (85% fail at hour 14, bursts, reset-after-47) are synthetic; EWMA vs plain-rate choices affect sticky avoidance; sequential day-8 windows share history. External: results may not transfer to production WAN traces or multi-region topologies. Construct: connectFailures count physical connector failures, not end-user error rate (success rate stays high via failover in all modes). Conclusion: limited to one flaky configuration and n seeds; Review-1 cited more papers than this Review-2 summary.</w:t>
      </w:r>
    </w:p>
    <w:p>
      <w:pPr>
        <w:pStyle w:val="Heading1"/>
      </w:pPr>
      <w:r>
        <w:rPr>
          <w:rFonts w:ascii="Times New Roman" w:hAnsi="Times New Roman" w:eastAsia="Times New Roman"/>
          <w:b/>
          <w:i w:val="0"/>
          <w:sz w:val="28"/>
        </w:rPr>
        <w:t>6. CONCLUSION</w:t>
      </w:r>
    </w:p>
    <w:p>
      <w:pPr>
        <w:spacing w:after="160" w:line="276" w:lineRule="auto"/>
      </w:pPr>
      <w:r>
        <w:rPr>
          <w:rFonts w:ascii="Times New Roman" w:hAnsi="Times New Roman" w:eastAsia="Times New Roman"/>
          <w:b w:val="0"/>
          <w:i w:val="0"/>
          <w:sz w:val="22"/>
        </w:rPr>
        <w:t>A history-aware JDBC pool can learn structured failure patterns from its own attempts and pre-emptively avoid a known bad hour. Under the honest protocol, predictive mode reduced bad-window connect failures from 85.9±4.0 (reactive) and 3.2±1.1 (circuit breaker) to 0.0±0.0, with warm hits serving failovers. Limitations and threats above apply; future work includes trace-driven evaluation and auto-tuned weights.</w:t>
      </w:r>
    </w:p>
    <w:p>
      <w:pPr>
        <w:pStyle w:val="Heading1"/>
      </w:pPr>
      <w:r>
        <w:rPr>
          <w:rFonts w:ascii="Times New Roman" w:hAnsi="Times New Roman" w:eastAsia="Times New Roman"/>
          <w:b/>
          <w:i w:val="0"/>
          <w:sz w:val="28"/>
        </w:rPr>
        <w:t>REFERENCES</w:t>
      </w:r>
    </w:p>
    <w:p>
      <w:pPr>
        <w:spacing w:after="80" w:line="276" w:lineRule="auto"/>
      </w:pPr>
      <w:r>
        <w:rPr>
          <w:rFonts w:ascii="Times New Roman" w:hAnsi="Times New Roman" w:eastAsia="Times New Roman"/>
          <w:b w:val="0"/>
          <w:i w:val="0"/>
          <w:sz w:val="20"/>
        </w:rPr>
        <w:t>[1] S. Tuli et al., "PreGAN+," IEEE TMC, 2024.</w:t>
      </w:r>
    </w:p>
    <w:p>
      <w:pPr>
        <w:spacing w:after="80" w:line="276" w:lineRule="auto"/>
      </w:pPr>
      <w:r>
        <w:rPr>
          <w:rFonts w:ascii="Times New Roman" w:hAnsi="Times New Roman" w:eastAsia="Times New Roman"/>
          <w:b w:val="0"/>
          <w:i w:val="0"/>
          <w:sz w:val="20"/>
        </w:rPr>
        <w:t>[2] M. Mohammad, "Resilient Microservices…," arXiv:2512.16959, 2025.</w:t>
      </w:r>
    </w:p>
    <w:p>
      <w:pPr>
        <w:spacing w:after="80" w:line="276" w:lineRule="auto"/>
      </w:pPr>
      <w:r>
        <w:rPr>
          <w:rFonts w:ascii="Times New Roman" w:hAnsi="Times New Roman" w:eastAsia="Times New Roman"/>
          <w:b w:val="0"/>
          <w:i w:val="0"/>
          <w:sz w:val="20"/>
        </w:rPr>
        <w:t>[3] A. Nouruzi et al., "AI-Based E2E Resilient… 6G," IEEE TNSE, 2025.</w:t>
      </w:r>
    </w:p>
    <w:p>
      <w:pPr>
        <w:spacing w:after="80" w:line="276" w:lineRule="auto"/>
      </w:pPr>
      <w:r>
        <w:rPr>
          <w:rFonts w:ascii="Times New Roman" w:hAnsi="Times New Roman" w:eastAsia="Times New Roman"/>
          <w:b w:val="0"/>
          <w:i w:val="0"/>
          <w:sz w:val="20"/>
        </w:rPr>
        <w:t>[4] S. Tripathi et al., "GQAT-Net," Journal of Grid Computing, 2025.</w:t>
      </w:r>
    </w:p>
    <w:p>
      <w:pPr>
        <w:spacing w:after="80" w:line="276" w:lineRule="auto"/>
      </w:pPr>
      <w:r>
        <w:rPr>
          <w:rFonts w:ascii="Times New Roman" w:hAnsi="Times New Roman" w:eastAsia="Times New Roman"/>
          <w:b w:val="0"/>
          <w:i w:val="0"/>
          <w:sz w:val="20"/>
        </w:rPr>
        <w:t>[5] E. Ferrer et al., "Inter-Satellite Link Prediction…," 2024.</w:t>
      </w:r>
    </w:p>
    <w:p>
      <w:pPr>
        <w:spacing w:after="80" w:line="276" w:lineRule="auto"/>
      </w:pPr>
      <w:r>
        <w:rPr>
          <w:rFonts w:ascii="Times New Roman" w:hAnsi="Times New Roman" w:eastAsia="Times New Roman"/>
          <w:b w:val="0"/>
          <w:i w:val="0"/>
          <w:sz w:val="20"/>
        </w:rPr>
        <w:t>[6] C. Yan and B. Mafakheri, "Satellite Connectivity Prediction…," 2025.</w:t>
      </w:r>
    </w:p>
    <w:p>
      <w:pPr>
        <w:spacing w:after="80" w:line="276" w:lineRule="auto"/>
      </w:pPr>
      <w:r>
        <w:rPr>
          <w:rFonts w:ascii="Times New Roman" w:hAnsi="Times New Roman" w:eastAsia="Times New Roman"/>
          <w:b w:val="0"/>
          <w:i w:val="0"/>
          <w:sz w:val="20"/>
        </w:rPr>
        <w:t>[7] W. Symbor and Ł. Falas, "…IoT… Prediction-Based Resource Allocation," Sensors, 2025.</w:t>
      </w:r>
    </w:p>
    <w:p>
      <w:pPr>
        <w:spacing w:after="80" w:line="276" w:lineRule="auto"/>
      </w:pPr>
      <w:r>
        <w:rPr>
          <w:rFonts w:ascii="Times New Roman" w:hAnsi="Times New Roman" w:eastAsia="Times New Roman"/>
          <w:b w:val="0"/>
          <w:i w:val="0"/>
          <w:sz w:val="20"/>
        </w:rPr>
        <w:t>[8] C. Zhang et al., "Deoxys," ACM SoCC, 2024.</w:t>
      </w:r>
    </w:p>
    <w:p>
      <w:pPr>
        <w:spacing w:after="80" w:line="276" w:lineRule="auto"/>
      </w:pPr>
      <w:r>
        <w:rPr>
          <w:rFonts w:ascii="Times New Roman" w:hAnsi="Times New Roman" w:eastAsia="Times New Roman"/>
          <w:b w:val="0"/>
          <w:i w:val="0"/>
          <w:sz w:val="20"/>
        </w:rPr>
        <w:t>[9] W. Xiao et al., "FT-MoE," arXiv:2504.20446, 2025.</w:t>
      </w:r>
    </w:p>
    <w:p>
      <w:pPr>
        <w:spacing w:after="80" w:line="276" w:lineRule="auto"/>
      </w:pPr>
      <w:r>
        <w:rPr>
          <w:rFonts w:ascii="Times New Roman" w:hAnsi="Times New Roman" w:eastAsia="Times New Roman"/>
          <w:b w:val="0"/>
          <w:i w:val="0"/>
          <w:sz w:val="20"/>
        </w:rPr>
        <w:t>[10] Y. Zhang et al., "Fault-Tolerant Scheduling…," Sensors, 2024.</w:t>
      </w:r>
    </w:p>
    <w:p>
      <w:pPr>
        <w:spacing w:after="80" w:line="276" w:lineRule="auto"/>
      </w:pPr>
      <w:r>
        <w:rPr>
          <w:rFonts w:ascii="Times New Roman" w:hAnsi="Times New Roman" w:eastAsia="Times New Roman"/>
          <w:b w:val="0"/>
          <w:i w:val="0"/>
          <w:sz w:val="20"/>
        </w:rPr>
        <w:t>[11] C. Ji and H. Luo, "Cloud-Based AI Systems…," arXiv:2505.11743, 2025.</w:t>
      </w:r>
    </w:p>
    <w:p>
      <w:pPr>
        <w:spacing w:after="80" w:line="276" w:lineRule="auto"/>
      </w:pPr>
      <w:r>
        <w:rPr>
          <w:rFonts w:ascii="Times New Roman" w:hAnsi="Times New Roman" w:eastAsia="Times New Roman"/>
          <w:b w:val="0"/>
          <w:i w:val="0"/>
          <w:sz w:val="20"/>
        </w:rPr>
        <w:t>[12] C.-W. Huang et al., "Resilient and Reliable Cloud Network Control…," 2025.</w:t>
      </w:r>
    </w:p>
    <w:p>
      <w:pPr>
        <w:spacing w:after="80" w:line="276" w:lineRule="auto"/>
      </w:pPr>
      <w:r>
        <w:rPr>
          <w:rFonts w:ascii="Times New Roman" w:hAnsi="Times New Roman" w:eastAsia="Times New Roman"/>
          <w:b w:val="0"/>
          <w:i w:val="0"/>
          <w:sz w:val="20"/>
        </w:rPr>
        <w:t>[13] N. Hayashibara et al., "The ϕ Accrual Failure Detector," IEEE SRDS, 2004.</w:t>
      </w:r>
    </w:p>
    <w:p>
      <w:pPr>
        <w:spacing w:after="80" w:line="276" w:lineRule="auto"/>
      </w:pPr>
      <w:r>
        <w:rPr>
          <w:rFonts w:ascii="Times New Roman" w:hAnsi="Times New Roman" w:eastAsia="Times New Roman"/>
          <w:b w:val="0"/>
          <w:i w:val="0"/>
          <w:sz w:val="20"/>
        </w:rPr>
        <w:t>[14] Netflix, "Hystrix," GitHub.</w:t>
      </w:r>
    </w:p>
    <w:p>
      <w:pPr>
        <w:spacing w:after="80" w:line="276" w:lineRule="auto"/>
      </w:pPr>
      <w:r>
        <w:rPr>
          <w:rFonts w:ascii="Times New Roman" w:hAnsi="Times New Roman" w:eastAsia="Times New Roman"/>
          <w:b w:val="0"/>
          <w:i w:val="0"/>
          <w:sz w:val="20"/>
        </w:rPr>
        <w:t>[15] "Self-Adaptive Dynamic Connection Pool Management Method," ACM ICSIM, 2022.</w:t>
      </w:r>
    </w:p>
    <w:p>
      <w:pPr>
        <w:spacing w:after="80" w:line="276" w:lineRule="auto"/>
      </w:pPr>
      <w:r>
        <w:rPr>
          <w:rFonts w:ascii="Times New Roman" w:hAnsi="Times New Roman" w:eastAsia="Times New Roman"/>
          <w:b w:val="0"/>
          <w:i w:val="0"/>
          <w:sz w:val="20"/>
        </w:rPr>
        <w:t>[16] A. Aral and I. Brandic, "Learning Spatiotemporal Failure Dependencies…," IEEE TPDS, 2021.</w:t>
      </w:r>
    </w:p>
    <w:p>
      <w:pPr>
        <w:pStyle w:val="Heading1"/>
      </w:pPr>
      <w:r>
        <w:rPr>
          <w:rFonts w:ascii="Times New Roman" w:hAnsi="Times New Roman" w:eastAsia="Times New Roman"/>
          <w:b/>
          <w:i w:val="0"/>
          <w:sz w:val="28"/>
        </w:rPr>
        <w:t>APPENDIX A — How to Run</w:t>
      </w:r>
    </w:p>
    <w:p>
      <w:pPr>
        <w:spacing w:after="160" w:line="276" w:lineRule="auto"/>
      </w:pPr>
      <w:r>
        <w:rPr>
          <w:rFonts w:ascii="Times New Roman" w:hAnsi="Times New Roman" w:eastAsia="Times New Roman"/>
          <w:b w:val="0"/>
          <w:i w:val="0"/>
          <w:sz w:val="20"/>
        </w:rPr>
        <w:t>cd pattern-aware-pool</w:t>
        <w:br/>
        <w:t>export JAVA_HOME=...(JDK 17+)</w:t>
        <w:br/>
        <w:t>mvn test</w:t>
        <w:br/>
        <w:t>mvn -q exec:java -Ddemo.mainClass=com.college.pap.demo.FullSystemDemo</w:t>
        <w:br/>
        <w:t>mvn -q exec:java -Ddemo.mainClass=com.college.pap.demo.ExperimentRunner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