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A65734" w14:textId="77777777" w:rsidR="000070B6" w:rsidRDefault="00000000">
      <w:pPr>
        <w:spacing w:after="200"/>
        <w:jc w:val="center"/>
      </w:pPr>
      <w:r>
        <w:rPr>
          <w:b/>
          <w:bCs/>
          <w:sz w:val="30"/>
          <w:szCs w:val="30"/>
        </w:rPr>
        <w:t>History-Aware Predictive Connection Pooling: A Client-Side Learning Approach to Self-Healing JDBC Connections in Structurally Unreliable Networks</w:t>
      </w:r>
    </w:p>
    <w:p w14:paraId="436C7095" w14:textId="77777777" w:rsidR="000070B6" w:rsidRDefault="00000000">
      <w:pPr>
        <w:spacing w:after="40"/>
        <w:jc w:val="center"/>
      </w:pPr>
      <w:r>
        <w:rPr>
          <w:b/>
          <w:bCs/>
          <w:sz w:val="22"/>
          <w:szCs w:val="22"/>
        </w:rPr>
        <w:t>Sara Sharma, Tanvi Singh</w:t>
      </w:r>
    </w:p>
    <w:p w14:paraId="3227E65C" w14:textId="77777777" w:rsidR="000070B6" w:rsidRDefault="00000000">
      <w:pPr>
        <w:spacing w:after="40"/>
        <w:jc w:val="center"/>
      </w:pPr>
      <w:r>
        <w:rPr>
          <w:i/>
          <w:iCs/>
        </w:rPr>
        <w:t>23BCE0967, 23BCE2155</w:t>
      </w:r>
    </w:p>
    <w:p w14:paraId="3FBD3648" w14:textId="77777777" w:rsidR="000070B6" w:rsidRDefault="00000000">
      <w:pPr>
        <w:spacing w:after="40"/>
        <w:jc w:val="center"/>
      </w:pPr>
      <w:r>
        <w:t>School of Computer Science and Engineering, Vellore Institute of Technology, Vellore, India</w:t>
      </w:r>
    </w:p>
    <w:p w14:paraId="7B296827" w14:textId="77777777" w:rsidR="000070B6" w:rsidRDefault="00000000">
      <w:pPr>
        <w:spacing w:after="220"/>
        <w:jc w:val="center"/>
      </w:pPr>
      <w:r>
        <w:rPr>
          <w:i/>
          <w:iCs/>
          <w:sz w:val="18"/>
          <w:szCs w:val="18"/>
        </w:rPr>
        <w:t xml:space="preserve">Guide: Mr. </w:t>
      </w:r>
      <w:proofErr w:type="spellStart"/>
      <w:r>
        <w:rPr>
          <w:i/>
          <w:iCs/>
          <w:sz w:val="18"/>
          <w:szCs w:val="18"/>
        </w:rPr>
        <w:t>Syamasudha</w:t>
      </w:r>
      <w:proofErr w:type="spellEnd"/>
      <w:r>
        <w:rPr>
          <w:i/>
          <w:iCs/>
          <w:sz w:val="18"/>
          <w:szCs w:val="18"/>
        </w:rPr>
        <w:t xml:space="preserve"> Veeragandham, Assistant Professor, School of Computer Science and Engineering, Department of Software Systems, VIT Vellore</w:t>
      </w:r>
    </w:p>
    <w:p w14:paraId="7E8D877E" w14:textId="77777777" w:rsidR="000070B6" w:rsidRDefault="00000000">
      <w:pPr>
        <w:spacing w:after="100" w:line="264" w:lineRule="auto"/>
        <w:jc w:val="both"/>
      </w:pPr>
      <w:r>
        <w:rPr>
          <w:b/>
          <w:bCs/>
          <w:i/>
          <w:iCs/>
        </w:rPr>
        <w:t xml:space="preserve">Abstract— </w:t>
      </w:r>
      <w:r>
        <w:t xml:space="preserve">Standard JDBC connection pools — </w:t>
      </w:r>
      <w:proofErr w:type="spellStart"/>
      <w:r>
        <w:t>HikariCP</w:t>
      </w:r>
      <w:proofErr w:type="spellEnd"/>
      <w:r>
        <w:t>, Apache DBCP2, c3p0 — and the resilience wrappers commonly layered on top of them, such as Hystrix and Resilience4j circuit breakers, are memoryless: a connection failure is detected, the connection is discarded, and a replacement is created, but nothing about the failure is retained once handled. In edge and field deployments — satellite uplinks, cellular backhaul, VPN tunnels — failures are frequently structured and recurring rather than independent and random, so a pool with no failure memory pays the full cost of the first failure in every recurrence of a pattern it has already seen many times. Recent literature has moved decisively toward predictive, pre-emptive fault management, but almost entirely at the infrastructure or orchestration layer, where telemetry, co-simulation, or topology access is available. This paper surveys that shift, positions a client-side JDBC connection pool — one that learns per-endpoint failure patterns from its own attempt history using exponential weighted moving average (EWMA) smoothing and run-length burst detection, then pre-emptively reroutes traffic and pre-warms backup connections — as a deliberately lightweight, infrastructure-agnostic counterpart to that literature, and identifies the specific gap it closes: no existing pool, resilience wrapper, or predictive fault-tolerance system treats a connection pool's own client-observed attempt history as a first-class, learned signal for pre-request endpoint routing and pre-warming, without external telemetry, orchestrator access, or co-simulation infrastructure.</w:t>
      </w:r>
    </w:p>
    <w:p w14:paraId="1693D933" w14:textId="77777777" w:rsidR="000070B6" w:rsidRDefault="00000000">
      <w:pPr>
        <w:spacing w:after="160" w:line="264" w:lineRule="auto"/>
        <w:jc w:val="both"/>
      </w:pPr>
      <w:r>
        <w:rPr>
          <w:b/>
          <w:bCs/>
          <w:i/>
          <w:iCs/>
        </w:rPr>
        <w:t xml:space="preserve">Keywords— </w:t>
      </w:r>
      <w:r>
        <w:rPr>
          <w:i/>
          <w:iCs/>
        </w:rPr>
        <w:t xml:space="preserve">connection pooling; JDBC; self-healing systems; predictive fault tolerance; proactive resilience; EWMA; failure prediction; circuit breaker; edge computing; </w:t>
      </w:r>
      <w:proofErr w:type="spellStart"/>
      <w:r>
        <w:rPr>
          <w:i/>
          <w:iCs/>
        </w:rPr>
        <w:t>preemptive</w:t>
      </w:r>
      <w:proofErr w:type="spellEnd"/>
      <w:r>
        <w:rPr>
          <w:i/>
          <w:iCs/>
        </w:rPr>
        <w:t xml:space="preserve"> migration.</w:t>
      </w:r>
    </w:p>
    <w:p w14:paraId="282B0A8A" w14:textId="77777777" w:rsidR="000070B6" w:rsidRDefault="000070B6"/>
    <w:p w14:paraId="410026B6" w14:textId="77777777" w:rsidR="00712F64" w:rsidRDefault="00712F64">
      <w:pPr>
        <w:sectPr w:rsidR="00712F64">
          <w:pgSz w:w="12240" w:h="15840"/>
          <w:pgMar w:top="1440" w:right="1080" w:bottom="1440" w:left="1080" w:header="708" w:footer="708" w:gutter="0"/>
          <w:cols w:space="720"/>
          <w:docGrid w:linePitch="360"/>
        </w:sectPr>
      </w:pPr>
    </w:p>
    <w:p w14:paraId="3DD9DBE6" w14:textId="77777777" w:rsidR="000070B6" w:rsidRDefault="00000000">
      <w:pPr>
        <w:spacing w:before="200" w:after="100"/>
      </w:pPr>
      <w:r>
        <w:rPr>
          <w:b/>
          <w:bCs/>
        </w:rPr>
        <w:t>I. INTRODUCTION</w:t>
      </w:r>
    </w:p>
    <w:p w14:paraId="69D5E0D7" w14:textId="77777777" w:rsidR="000070B6" w:rsidRDefault="00000000">
      <w:pPr>
        <w:spacing w:after="120" w:line="264" w:lineRule="auto"/>
        <w:ind w:firstLine="288"/>
        <w:jc w:val="both"/>
      </w:pPr>
      <w:r>
        <w:t xml:space="preserve">Connection pools exist to amortise the cost of establishing database or API connections across many requests. Every mainstream implementation — </w:t>
      </w:r>
      <w:proofErr w:type="spellStart"/>
      <w:r>
        <w:t>HikariCP</w:t>
      </w:r>
      <w:proofErr w:type="spellEnd"/>
      <w:r>
        <w:t>, Apache DBCP2, c3p0 — follows the same failure-handling loop: a connection is validated or used, and if it fails it is evicted and a new one is created on the next request. This loop is memoryless by design: the pool does not record why a connection failed, when it failed, or whether it failed alongside other connections to the same endpoint. This is a reasonable design for data-centre networking, where failures are close to independent and uniformly distributed in time. It is a poor fit for edge and field deployments — IoT sensor hubs in low-connectivity rural areas, maritime or offshore systems on satellite uplinks, clinics or field stations on constrained cellular backhaul — where connectivity degrades in structured, repeatable ways: time-of-day degradation (a daily solar-interference window on a satellite link), burst clustering (failures arriving in runs of three to five attempts before a link stabilises), and threshold-triggered resets (a VPN tunnel that reliably drops after a bounded number of successful connections).</w:t>
      </w:r>
    </w:p>
    <w:p w14:paraId="4D1F9396" w14:textId="77777777" w:rsidR="000070B6" w:rsidRDefault="00000000">
      <w:pPr>
        <w:spacing w:after="120" w:line="264" w:lineRule="auto"/>
        <w:ind w:firstLine="288"/>
        <w:jc w:val="both"/>
      </w:pPr>
      <w:r>
        <w:t>Over 2024–2026, the literature on fault tolerance has shifted decisively from reactive detection toward predictive, pre-emptive management: systems that forecast an impending failure and act — reroute, migrate, pre-warm — before the failure manifests, rather than after. This shift is visible at every layer of the stack, from mobile edge orchestration [1] to 6G network slicing [3], satellite connectivity [5][6], IoT resource allocation [7], and cloud infrastructure health management [8][11]. This paper reviews that literature, uses it to motivate and position a client-side, infrastructure-agnostic instance of the same idea — a JDBC connection pool that learns from its own attempt history — and identifies the specific, narrow gap that instance closes relative to the reviewed work.</w:t>
      </w:r>
    </w:p>
    <w:p w14:paraId="4F6DC885" w14:textId="77777777" w:rsidR="000070B6" w:rsidRDefault="00000000">
      <w:pPr>
        <w:spacing w:before="200" w:after="100"/>
      </w:pPr>
      <w:r>
        <w:rPr>
          <w:b/>
          <w:bCs/>
        </w:rPr>
        <w:t>II. OBJECTIVES</w:t>
      </w:r>
    </w:p>
    <w:p w14:paraId="41B266CA" w14:textId="77777777" w:rsidR="000070B6" w:rsidRDefault="00000000">
      <w:pPr>
        <w:spacing w:after="60" w:line="264" w:lineRule="auto"/>
        <w:jc w:val="both"/>
      </w:pPr>
      <w:r>
        <w:t>The objectives of this study and the associated project are:</w:t>
      </w:r>
    </w:p>
    <w:p w14:paraId="2745633C" w14:textId="77777777" w:rsidR="00712F64" w:rsidRDefault="00000000" w:rsidP="00712F64">
      <w:pPr>
        <w:spacing w:after="120" w:line="264" w:lineRule="auto"/>
        <w:ind w:firstLine="288"/>
        <w:jc w:val="both"/>
      </w:pPr>
      <w:r>
        <w:t>O1 — Survey recent (2024–2026) Q1/high-impact literature on predictive and self-healing fault tolerance across connection management, microservice resilience, and network/edge systems, to establish the current state of the art.</w:t>
      </w:r>
    </w:p>
    <w:p w14:paraId="02688D83" w14:textId="77777777" w:rsidR="00712F64" w:rsidRDefault="00712F64" w:rsidP="00712F64">
      <w:pPr>
        <w:spacing w:after="120" w:line="264" w:lineRule="auto"/>
        <w:ind w:firstLine="288"/>
        <w:jc w:val="both"/>
      </w:pPr>
      <w:r>
        <w:lastRenderedPageBreak/>
        <w:t xml:space="preserve">O2- </w:t>
      </w:r>
      <w:r w:rsidRPr="00332EC3">
        <w:t xml:space="preserve"> Failure memory: record every connection attempt per endpoint (timestamp, outcome, failure type, duration) in a bounded, thread-safe in-memory store, with no external database dependency.</w:t>
      </w:r>
    </w:p>
    <w:p w14:paraId="2D0E0901" w14:textId="77777777" w:rsidR="00712F64" w:rsidRDefault="00712F64" w:rsidP="00712F64">
      <w:pPr>
        <w:spacing w:after="120" w:line="264" w:lineRule="auto"/>
        <w:ind w:firstLine="288"/>
        <w:jc w:val="both"/>
      </w:pPr>
      <w:r w:rsidRPr="00332EC3">
        <w:t>O</w:t>
      </w:r>
      <w:r>
        <w:t>3</w:t>
      </w:r>
      <w:r w:rsidRPr="00332EC3">
        <w:t xml:space="preserve"> — Pattern learning: derive, from that history, (a) an hourly failure-rate profile per endpoint using EWMA smoothing, and (b) a cluster/burst state describing whether the endpoint is currently in a run of consecutive failures.</w:t>
      </w:r>
    </w:p>
    <w:p w14:paraId="1CC10AF0" w14:textId="77777777" w:rsidR="00712F64" w:rsidRDefault="00712F64" w:rsidP="00712F64">
      <w:pPr>
        <w:spacing w:after="120" w:line="264" w:lineRule="auto"/>
        <w:ind w:firstLine="288"/>
        <w:jc w:val="both"/>
      </w:pPr>
      <w:r w:rsidRPr="00332EC3">
        <w:t>O</w:t>
      </w:r>
      <w:r>
        <w:t>4</w:t>
      </w:r>
      <w:r w:rsidRPr="00332EC3">
        <w:t xml:space="preserve"> — Predictive routing: compute a per-endpoint risk score from the learned profile and current time/cluster state, and route new connection requests to the lowest-risk endpoint before a failure occurs — not after.</w:t>
      </w:r>
    </w:p>
    <w:p w14:paraId="0195DD6C" w14:textId="445EB7C8" w:rsidR="00712F64" w:rsidRPr="00332EC3" w:rsidRDefault="00712F64" w:rsidP="00712F64">
      <w:pPr>
        <w:spacing w:after="120" w:line="264" w:lineRule="auto"/>
        <w:ind w:firstLine="288"/>
        <w:jc w:val="both"/>
      </w:pPr>
      <w:r w:rsidRPr="00332EC3">
        <w:t>O</w:t>
      </w:r>
      <w:r>
        <w:t>5</w:t>
      </w:r>
      <w:r w:rsidRPr="00332EC3">
        <w:t xml:space="preserve"> — Pre-emptive readiness: pre-warm and validate backup connections ahead of a predicted high-risk window, so that when traffic is rerouted at O3 there is zero connection-establishment latency at the point of failover.</w:t>
      </w:r>
    </w:p>
    <w:p w14:paraId="2A98CE3B" w14:textId="79447374" w:rsidR="000070B6" w:rsidRDefault="00000000">
      <w:pPr>
        <w:spacing w:after="120" w:line="264" w:lineRule="auto"/>
        <w:ind w:firstLine="288"/>
        <w:jc w:val="both"/>
      </w:pPr>
      <w:r>
        <w:t>O</w:t>
      </w:r>
      <w:r w:rsidR="00712F64">
        <w:t>6</w:t>
      </w:r>
      <w:r>
        <w:t xml:space="preserve"> — Position a failure-history-aware JDBC connection pool (EWMA-based time-of-day profiling, run-length burst detection, weighted risk scoring, and pre-warming) as a concrete, feasible response to that gap.</w:t>
      </w:r>
    </w:p>
    <w:p w14:paraId="432C7EBB" w14:textId="77777777" w:rsidR="000070B6" w:rsidRDefault="00000000">
      <w:pPr>
        <w:spacing w:before="200" w:after="100"/>
      </w:pPr>
      <w:r>
        <w:rPr>
          <w:b/>
          <w:bCs/>
        </w:rPr>
        <w:t>III. LITERATURE REVIEW</w:t>
      </w:r>
    </w:p>
    <w:p w14:paraId="1D06A8D9" w14:textId="77777777" w:rsidR="000070B6" w:rsidRDefault="00000000">
      <w:pPr>
        <w:spacing w:before="140" w:after="80"/>
      </w:pPr>
      <w:r>
        <w:rPr>
          <w:b/>
          <w:bCs/>
          <w:i/>
          <w:iCs/>
        </w:rPr>
        <w:t>A. Reactive fault tolerance patterns</w:t>
      </w:r>
    </w:p>
    <w:p w14:paraId="2388494D" w14:textId="77777777" w:rsidR="000070B6" w:rsidRDefault="00000000">
      <w:pPr>
        <w:spacing w:after="120" w:line="264" w:lineRule="auto"/>
        <w:jc w:val="both"/>
      </w:pPr>
      <w:r>
        <w:t>The circuit breaker pattern, popularised by Netflix Hystrix and continued in Resilience4j, trips after a threshold number of failures within a rolling window and periodically probes recovery through a half-open state. A 2025 systematic review of microservice recovery patterns [2] groups circuit breakers with retry-with-backoff and bulkhead isolation as the standard reactive toolkit and confirms that, across the reviewed literature, these patterns remain effective at containing cascading failure once it has begun but cannot act before the threshold number of failures has already been observed.</w:t>
      </w:r>
    </w:p>
    <w:p w14:paraId="3E70D8DA" w14:textId="77777777" w:rsidR="000070B6" w:rsidRDefault="00000000">
      <w:pPr>
        <w:spacing w:before="140" w:after="80"/>
      </w:pPr>
      <w:r>
        <w:rPr>
          <w:b/>
          <w:bCs/>
          <w:i/>
          <w:iCs/>
        </w:rPr>
        <w:t xml:space="preserve">B. </w:t>
      </w:r>
      <w:proofErr w:type="spellStart"/>
      <w:r>
        <w:rPr>
          <w:b/>
          <w:bCs/>
          <w:i/>
          <w:iCs/>
        </w:rPr>
        <w:t>Preemptive</w:t>
      </w:r>
      <w:proofErr w:type="spellEnd"/>
      <w:r>
        <w:rPr>
          <w:b/>
          <w:bCs/>
          <w:i/>
          <w:iCs/>
        </w:rPr>
        <w:t xml:space="preserve"> migration and fault prediction at the edge</w:t>
      </w:r>
    </w:p>
    <w:p w14:paraId="0A3C00C9" w14:textId="77777777" w:rsidR="000070B6" w:rsidRDefault="00000000">
      <w:pPr>
        <w:spacing w:after="120" w:line="264" w:lineRule="auto"/>
        <w:jc w:val="both"/>
      </w:pPr>
      <w:proofErr w:type="spellStart"/>
      <w:r>
        <w:t>PreGAN</w:t>
      </w:r>
      <w:proofErr w:type="spellEnd"/>
      <w:r>
        <w:t xml:space="preserve">+ [1] — the base paper for this study, published in IEEE Transactions on Mobile Computing (2024) — predicts resource contentions in mobile edge environments using a semi-supervised GAN-based fault classifier combined with a Transformer-based decision model, identifies which resource type is likely to overload, and generates </w:t>
      </w:r>
      <w:proofErr w:type="spellStart"/>
      <w:r>
        <w:t>preemptive</w:t>
      </w:r>
      <w:proofErr w:type="spellEnd"/>
      <w:r>
        <w:t xml:space="preserve"> container migration decisions before downtime occurs. It extends the authors' earlier </w:t>
      </w:r>
      <w:proofErr w:type="spellStart"/>
      <w:r>
        <w:t>PreGAN</w:t>
      </w:r>
      <w:proofErr w:type="spellEnd"/>
      <w:r>
        <w:t xml:space="preserve"> (INFOCOM 2022) with periodic semi-supervised tuning for faster adaptation. Its core contribution — predict, classify, act before failure — is the direct conceptual ancestor of this project, but it operates at the orchestrator/container level, requiring co-simulation infrastructure and scheduler access unavailable to a client-side JDBC pool.</w:t>
      </w:r>
    </w:p>
    <w:p w14:paraId="3AF6CD7A" w14:textId="77777777" w:rsidR="000070B6" w:rsidRDefault="00000000">
      <w:pPr>
        <w:spacing w:after="120" w:line="264" w:lineRule="auto"/>
        <w:jc w:val="both"/>
      </w:pPr>
      <w:r>
        <w:t xml:space="preserve">In the same spirit, Microsoft's </w:t>
      </w:r>
      <w:proofErr w:type="spellStart"/>
      <w:r>
        <w:t>Deoxys</w:t>
      </w:r>
      <w:proofErr w:type="spellEnd"/>
      <w:r>
        <w:t xml:space="preserve"> [8] (ACM SoCC 2024) uses causal inference (double machine learning with causal forest) over historical unhealthy-node events to recommend mitigation actions before virtual machine downtime accumulates, illustrating that even at hyperscale-cloud scale, the field is moving toward learned, history-driven mitigation policies rather than static thresholds. Zhang et al. [10] (Sensors, 2024) propose a graph-reinforcement-learning-based fault-tolerant scheduler for dynamic edge computing that captures communication relationships between nodes to anticipate task interruption risk ahead of scheduling decisions.</w:t>
      </w:r>
    </w:p>
    <w:p w14:paraId="29358C7A" w14:textId="77777777" w:rsidR="000070B6" w:rsidRDefault="00000000">
      <w:pPr>
        <w:spacing w:before="140" w:after="80"/>
      </w:pPr>
      <w:r>
        <w:rPr>
          <w:b/>
          <w:bCs/>
          <w:i/>
          <w:iCs/>
        </w:rPr>
        <w:t>C. Predictive resource and network management</w:t>
      </w:r>
    </w:p>
    <w:p w14:paraId="065ADEEB" w14:textId="77777777" w:rsidR="000070B6" w:rsidRDefault="00000000">
      <w:pPr>
        <w:spacing w:after="120" w:line="264" w:lineRule="auto"/>
        <w:jc w:val="both"/>
      </w:pPr>
      <w:r>
        <w:t xml:space="preserve">At the network-slicing layer, </w:t>
      </w:r>
      <w:proofErr w:type="spellStart"/>
      <w:r>
        <w:t>Nouruzi</w:t>
      </w:r>
      <w:proofErr w:type="spellEnd"/>
      <w:r>
        <w:t xml:space="preserve"> et al. [3] (IEEE Transactions on Network Science and Engineering, 2025) formulate a probability of successful slice provisioning (PSSP) as an explicit constraint in an end-to-end resource management problem, guaranteeing both proactivity and resilience for 6G network slices rather than reacting to violations after they occur. Huang et al. [12] (2025) formulate a joint reliable-and-resilient cloud network control problem for mission-critical, latency-sensitive service chains, combining long- and short-term timely-throughput constraints so that the network both meets deadlines under normal operation and recovers quickly after a node or link outage. </w:t>
      </w:r>
      <w:proofErr w:type="spellStart"/>
      <w:r>
        <w:t>Symbor</w:t>
      </w:r>
      <w:proofErr w:type="spellEnd"/>
      <w:r>
        <w:t xml:space="preserve"> and Falas [7] (Sensors, 2025) propose prediction-based resource allocation for IoT/MEC networks, using ARIMA and LSTM traffic-share forecasting to pre-adjust resource allocation ahead of anticipated demand shifts, explicitly framing this as a shift from reactive to proactive allocation.</w:t>
      </w:r>
    </w:p>
    <w:p w14:paraId="6726927E" w14:textId="77777777" w:rsidR="000070B6" w:rsidRDefault="00000000">
      <w:pPr>
        <w:spacing w:before="140" w:after="80"/>
      </w:pPr>
      <w:r>
        <w:rPr>
          <w:b/>
          <w:bCs/>
          <w:i/>
          <w:iCs/>
        </w:rPr>
        <w:t>D. Learned failure prediction models</w:t>
      </w:r>
    </w:p>
    <w:p w14:paraId="4DCEE3A8" w14:textId="77777777" w:rsidR="000070B6" w:rsidRDefault="00000000">
      <w:pPr>
        <w:spacing w:after="120" w:line="264" w:lineRule="auto"/>
        <w:jc w:val="both"/>
      </w:pPr>
      <w:r>
        <w:t>Tripathi et al. [4] (Journal of Grid Computing, 2025) introduce GQAT-Net, a calibrated grouped-query-attention neural network that captures temporal and spatial dependencies in task/job telemetry to predict failures in large-scale cloud and IoT-edge clusters, reporting precision above 95% on the Alibaba and Google cluster-trace benchmarks. Xiao et al. [9] (2025) propose FT-</w:t>
      </w:r>
      <w:proofErr w:type="spellStart"/>
      <w:r>
        <w:t>MoE</w:t>
      </w:r>
      <w:proofErr w:type="spellEnd"/>
      <w:r>
        <w:t>, a mixture-of-experts fault-tolerant computing framework that combines offline training with continual online tuning so the model keeps adapting to dynamic edge workloads rather than degrading as conditions drift. Ji and Luo [11] (2025) explore large-language-model-based fault detection and self-healing for cloud systems, extending the predictive-and-remediate paradigm toward LLM-driven root-cause reasoning.</w:t>
      </w:r>
    </w:p>
    <w:p w14:paraId="150095DA" w14:textId="77777777" w:rsidR="000070B6" w:rsidRDefault="00000000">
      <w:pPr>
        <w:spacing w:before="140" w:after="80"/>
      </w:pPr>
      <w:r>
        <w:rPr>
          <w:b/>
          <w:bCs/>
          <w:i/>
          <w:iCs/>
        </w:rPr>
        <w:t>E. Connectivity prediction in intermittent-link domains</w:t>
      </w:r>
    </w:p>
    <w:p w14:paraId="52817C4C" w14:textId="77777777" w:rsidR="000070B6" w:rsidRDefault="00000000">
      <w:pPr>
        <w:spacing w:after="120" w:line="264" w:lineRule="auto"/>
        <w:jc w:val="both"/>
      </w:pPr>
      <w:r>
        <w:t xml:space="preserve">Directly relevant to the motivating scenario of this project — satellite, cellular, and other structurally unreliable links — Ferrer et al. [5] (2024) use supervised learning over </w:t>
      </w:r>
      <w:r>
        <w:lastRenderedPageBreak/>
        <w:t xml:space="preserve">Kepler/SGP4 orbital elements to predict inter-satellite link encounter windows ahead of time, avoiding failed communication attempts by anticipating when a link will and will not be available. Yan and </w:t>
      </w:r>
      <w:proofErr w:type="spellStart"/>
      <w:r>
        <w:t>Mafakheri</w:t>
      </w:r>
      <w:proofErr w:type="spellEnd"/>
      <w:r>
        <w:t xml:space="preserve"> [6] (2025) predict satellite connectivity quality for fast-moving platforms from historical connectivity data, enabling proactive beam or constellation switching before a connectivity drop is experienced by the user, which is conceptually identical to the pre-warming and rerouting behaviour proposed for the JDBC pool in this project, applied one layer down the stack.</w:t>
      </w:r>
    </w:p>
    <w:p w14:paraId="4C8A60FA" w14:textId="77777777" w:rsidR="000070B6" w:rsidRDefault="00000000">
      <w:pPr>
        <w:spacing w:before="200" w:after="100"/>
      </w:pPr>
      <w:r>
        <w:rPr>
          <w:b/>
          <w:bCs/>
        </w:rPr>
        <w:t>IV. ANALYSIS OF EXISTING SOLUTIONS AND LIMITATIONS</w:t>
      </w:r>
    </w:p>
    <w:p w14:paraId="73B729D7" w14:textId="77777777" w:rsidR="000070B6" w:rsidRDefault="00000000">
      <w:pPr>
        <w:spacing w:after="120" w:line="264" w:lineRule="auto"/>
        <w:jc w:val="both"/>
      </w:pPr>
      <w:r>
        <w:t>Table I summarises the failure-handling model and limitation of each class of solution reviewed above, ordered from the connection-pooling layer itself outward to infrastructure-scale prediction, and shows where this project's approach sits relative to each.</w:t>
      </w:r>
    </w:p>
    <w:p w14:paraId="54CD00D6" w14:textId="77777777" w:rsidR="000070B6" w:rsidRDefault="00000000">
      <w:pPr>
        <w:spacing w:before="40" w:after="40"/>
      </w:pPr>
      <w:r>
        <w:rPr>
          <w:b/>
          <w:bCs/>
          <w:sz w:val="15"/>
          <w:szCs w:val="15"/>
        </w:rPr>
        <w:t>TABLE I. EXISTING APPROACHES VS. LIMITATIONS</w:t>
      </w:r>
    </w:p>
    <w:tbl>
      <w:tblPr>
        <w:tblW w:w="4905"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241"/>
        <w:gridCol w:w="1676"/>
        <w:gridCol w:w="1988"/>
      </w:tblGrid>
      <w:tr w:rsidR="000070B6" w14:paraId="4880A52E" w14:textId="77777777" w:rsidTr="00712F64">
        <w:tblPrEx>
          <w:tblCellMar>
            <w:top w:w="0" w:type="dxa"/>
            <w:bottom w:w="0" w:type="dxa"/>
          </w:tblCellMar>
        </w:tblPrEx>
        <w:trPr>
          <w:cantSplit/>
          <w:trHeight w:val="273"/>
          <w:tblHeader/>
        </w:trPr>
        <w:tc>
          <w:tcPr>
            <w:tcW w:w="1241" w:type="dxa"/>
            <w:shd w:val="clear" w:color="auto" w:fill="D9D9D9"/>
            <w:tcMar>
              <w:top w:w="60" w:type="dxa"/>
              <w:left w:w="60" w:type="dxa"/>
              <w:bottom w:w="60" w:type="dxa"/>
              <w:right w:w="60" w:type="dxa"/>
            </w:tcMar>
          </w:tcPr>
          <w:p w14:paraId="57A5E297" w14:textId="77777777" w:rsidR="000070B6" w:rsidRPr="00712F64" w:rsidRDefault="00000000">
            <w:pPr>
              <w:spacing w:line="220" w:lineRule="auto"/>
              <w:rPr>
                <w:sz w:val="18"/>
                <w:szCs w:val="18"/>
              </w:rPr>
            </w:pPr>
            <w:r w:rsidRPr="00712F64">
              <w:rPr>
                <w:b/>
                <w:bCs/>
                <w:sz w:val="18"/>
                <w:szCs w:val="18"/>
              </w:rPr>
              <w:t>Approach</w:t>
            </w:r>
          </w:p>
        </w:tc>
        <w:tc>
          <w:tcPr>
            <w:tcW w:w="1676" w:type="dxa"/>
            <w:shd w:val="clear" w:color="auto" w:fill="D9D9D9"/>
            <w:tcMar>
              <w:top w:w="60" w:type="dxa"/>
              <w:left w:w="60" w:type="dxa"/>
              <w:bottom w:w="60" w:type="dxa"/>
              <w:right w:w="60" w:type="dxa"/>
            </w:tcMar>
          </w:tcPr>
          <w:p w14:paraId="11F29453" w14:textId="77777777" w:rsidR="000070B6" w:rsidRPr="00712F64" w:rsidRDefault="00000000">
            <w:pPr>
              <w:spacing w:line="220" w:lineRule="auto"/>
              <w:rPr>
                <w:sz w:val="18"/>
                <w:szCs w:val="18"/>
              </w:rPr>
            </w:pPr>
            <w:r w:rsidRPr="00712F64">
              <w:rPr>
                <w:b/>
                <w:bCs/>
                <w:sz w:val="18"/>
                <w:szCs w:val="18"/>
              </w:rPr>
              <w:t>Model</w:t>
            </w:r>
          </w:p>
        </w:tc>
        <w:tc>
          <w:tcPr>
            <w:tcW w:w="1988" w:type="dxa"/>
            <w:shd w:val="clear" w:color="auto" w:fill="D9D9D9"/>
            <w:tcMar>
              <w:top w:w="60" w:type="dxa"/>
              <w:left w:w="60" w:type="dxa"/>
              <w:bottom w:w="60" w:type="dxa"/>
              <w:right w:w="60" w:type="dxa"/>
            </w:tcMar>
          </w:tcPr>
          <w:p w14:paraId="2230E2FC" w14:textId="77777777" w:rsidR="000070B6" w:rsidRPr="00712F64" w:rsidRDefault="00000000">
            <w:pPr>
              <w:spacing w:line="220" w:lineRule="auto"/>
              <w:rPr>
                <w:sz w:val="18"/>
                <w:szCs w:val="18"/>
              </w:rPr>
            </w:pPr>
            <w:r w:rsidRPr="00712F64">
              <w:rPr>
                <w:b/>
                <w:bCs/>
                <w:sz w:val="18"/>
                <w:szCs w:val="18"/>
              </w:rPr>
              <w:t>Limitation</w:t>
            </w:r>
          </w:p>
        </w:tc>
      </w:tr>
      <w:tr w:rsidR="000070B6" w14:paraId="36666CDB" w14:textId="77777777" w:rsidTr="00712F64">
        <w:tblPrEx>
          <w:tblCellMar>
            <w:top w:w="0" w:type="dxa"/>
            <w:bottom w:w="0" w:type="dxa"/>
          </w:tblCellMar>
        </w:tblPrEx>
        <w:trPr>
          <w:cantSplit/>
          <w:trHeight w:val="824"/>
        </w:trPr>
        <w:tc>
          <w:tcPr>
            <w:tcW w:w="1241" w:type="dxa"/>
            <w:tcMar>
              <w:top w:w="60" w:type="dxa"/>
              <w:left w:w="60" w:type="dxa"/>
              <w:bottom w:w="60" w:type="dxa"/>
              <w:right w:w="60" w:type="dxa"/>
            </w:tcMar>
          </w:tcPr>
          <w:p w14:paraId="0A4DA211" w14:textId="77777777" w:rsidR="000070B6" w:rsidRPr="00712F64" w:rsidRDefault="00000000">
            <w:pPr>
              <w:spacing w:line="220" w:lineRule="auto"/>
              <w:rPr>
                <w:sz w:val="18"/>
                <w:szCs w:val="18"/>
              </w:rPr>
            </w:pPr>
            <w:proofErr w:type="spellStart"/>
            <w:r w:rsidRPr="00712F64">
              <w:rPr>
                <w:sz w:val="18"/>
                <w:szCs w:val="18"/>
              </w:rPr>
              <w:t>HikariCP</w:t>
            </w:r>
            <w:proofErr w:type="spellEnd"/>
            <w:r w:rsidRPr="00712F64">
              <w:rPr>
                <w:sz w:val="18"/>
                <w:szCs w:val="18"/>
              </w:rPr>
              <w:t xml:space="preserve"> / DBCP2 / c3p0</w:t>
            </w:r>
          </w:p>
        </w:tc>
        <w:tc>
          <w:tcPr>
            <w:tcW w:w="1676" w:type="dxa"/>
            <w:tcMar>
              <w:top w:w="60" w:type="dxa"/>
              <w:left w:w="60" w:type="dxa"/>
              <w:bottom w:w="60" w:type="dxa"/>
              <w:right w:w="60" w:type="dxa"/>
            </w:tcMar>
          </w:tcPr>
          <w:p w14:paraId="5F4F1D2C" w14:textId="77777777" w:rsidR="000070B6" w:rsidRPr="00712F64" w:rsidRDefault="00000000">
            <w:pPr>
              <w:spacing w:line="220" w:lineRule="auto"/>
              <w:rPr>
                <w:sz w:val="18"/>
                <w:szCs w:val="18"/>
              </w:rPr>
            </w:pPr>
            <w:r w:rsidRPr="00712F64">
              <w:rPr>
                <w:sz w:val="18"/>
                <w:szCs w:val="18"/>
              </w:rPr>
              <w:t>Evict on failure, replace on next request.</w:t>
            </w:r>
          </w:p>
        </w:tc>
        <w:tc>
          <w:tcPr>
            <w:tcW w:w="1988" w:type="dxa"/>
            <w:tcMar>
              <w:top w:w="60" w:type="dxa"/>
              <w:left w:w="60" w:type="dxa"/>
              <w:bottom w:w="60" w:type="dxa"/>
              <w:right w:w="60" w:type="dxa"/>
            </w:tcMar>
          </w:tcPr>
          <w:p w14:paraId="791F0742" w14:textId="77777777" w:rsidR="000070B6" w:rsidRPr="00712F64" w:rsidRDefault="00000000">
            <w:pPr>
              <w:spacing w:line="220" w:lineRule="auto"/>
              <w:rPr>
                <w:sz w:val="18"/>
                <w:szCs w:val="18"/>
              </w:rPr>
            </w:pPr>
            <w:r w:rsidRPr="00712F64">
              <w:rPr>
                <w:sz w:val="18"/>
                <w:szCs w:val="18"/>
              </w:rPr>
              <w:t>No memory; daily pattern re-discovered from scratch.</w:t>
            </w:r>
          </w:p>
        </w:tc>
      </w:tr>
      <w:tr w:rsidR="000070B6" w14:paraId="3FF680D0" w14:textId="77777777" w:rsidTr="00712F64">
        <w:tblPrEx>
          <w:tblCellMar>
            <w:top w:w="0" w:type="dxa"/>
            <w:bottom w:w="0" w:type="dxa"/>
          </w:tblCellMar>
        </w:tblPrEx>
        <w:trPr>
          <w:cantSplit/>
          <w:trHeight w:val="824"/>
        </w:trPr>
        <w:tc>
          <w:tcPr>
            <w:tcW w:w="1241" w:type="dxa"/>
            <w:tcMar>
              <w:top w:w="60" w:type="dxa"/>
              <w:left w:w="60" w:type="dxa"/>
              <w:bottom w:w="60" w:type="dxa"/>
              <w:right w:w="60" w:type="dxa"/>
            </w:tcMar>
          </w:tcPr>
          <w:p w14:paraId="126AED65" w14:textId="77777777" w:rsidR="000070B6" w:rsidRPr="00712F64" w:rsidRDefault="00000000">
            <w:pPr>
              <w:spacing w:line="220" w:lineRule="auto"/>
              <w:rPr>
                <w:sz w:val="18"/>
                <w:szCs w:val="18"/>
              </w:rPr>
            </w:pPr>
            <w:r w:rsidRPr="00712F64">
              <w:rPr>
                <w:sz w:val="18"/>
                <w:szCs w:val="18"/>
              </w:rPr>
              <w:t>Circuit Breaker [2]</w:t>
            </w:r>
          </w:p>
        </w:tc>
        <w:tc>
          <w:tcPr>
            <w:tcW w:w="1676" w:type="dxa"/>
            <w:tcMar>
              <w:top w:w="60" w:type="dxa"/>
              <w:left w:w="60" w:type="dxa"/>
              <w:bottom w:w="60" w:type="dxa"/>
              <w:right w:w="60" w:type="dxa"/>
            </w:tcMar>
          </w:tcPr>
          <w:p w14:paraId="2B21FB62" w14:textId="77777777" w:rsidR="000070B6" w:rsidRPr="00712F64" w:rsidRDefault="00000000">
            <w:pPr>
              <w:spacing w:line="220" w:lineRule="auto"/>
              <w:rPr>
                <w:sz w:val="18"/>
                <w:szCs w:val="18"/>
              </w:rPr>
            </w:pPr>
            <w:r w:rsidRPr="00712F64">
              <w:rPr>
                <w:sz w:val="18"/>
                <w:szCs w:val="18"/>
              </w:rPr>
              <w:t>Trip after N failures; half-open probe.</w:t>
            </w:r>
          </w:p>
        </w:tc>
        <w:tc>
          <w:tcPr>
            <w:tcW w:w="1988" w:type="dxa"/>
            <w:tcMar>
              <w:top w:w="60" w:type="dxa"/>
              <w:left w:w="60" w:type="dxa"/>
              <w:bottom w:w="60" w:type="dxa"/>
              <w:right w:w="60" w:type="dxa"/>
            </w:tcMar>
          </w:tcPr>
          <w:p w14:paraId="51B5A136" w14:textId="77777777" w:rsidR="000070B6" w:rsidRPr="00712F64" w:rsidRDefault="00000000">
            <w:pPr>
              <w:spacing w:line="220" w:lineRule="auto"/>
              <w:rPr>
                <w:sz w:val="18"/>
                <w:szCs w:val="18"/>
              </w:rPr>
            </w:pPr>
            <w:r w:rsidRPr="00712F64">
              <w:rPr>
                <w:sz w:val="18"/>
                <w:szCs w:val="18"/>
              </w:rPr>
              <w:t>Reactive; first 3–5 requests per cluster still fail.</w:t>
            </w:r>
          </w:p>
        </w:tc>
      </w:tr>
      <w:tr w:rsidR="000070B6" w14:paraId="5803AC9F" w14:textId="77777777" w:rsidTr="00712F64">
        <w:tblPrEx>
          <w:tblCellMar>
            <w:top w:w="0" w:type="dxa"/>
            <w:bottom w:w="0" w:type="dxa"/>
          </w:tblCellMar>
        </w:tblPrEx>
        <w:trPr>
          <w:cantSplit/>
          <w:trHeight w:val="855"/>
        </w:trPr>
        <w:tc>
          <w:tcPr>
            <w:tcW w:w="1241" w:type="dxa"/>
            <w:tcMar>
              <w:top w:w="60" w:type="dxa"/>
              <w:left w:w="60" w:type="dxa"/>
              <w:bottom w:w="60" w:type="dxa"/>
              <w:right w:w="60" w:type="dxa"/>
            </w:tcMar>
          </w:tcPr>
          <w:p w14:paraId="6EB8907D" w14:textId="77777777" w:rsidR="000070B6" w:rsidRPr="00712F64" w:rsidRDefault="00000000">
            <w:pPr>
              <w:spacing w:line="220" w:lineRule="auto"/>
              <w:rPr>
                <w:sz w:val="18"/>
                <w:szCs w:val="18"/>
              </w:rPr>
            </w:pPr>
            <w:proofErr w:type="spellStart"/>
            <w:r w:rsidRPr="00712F64">
              <w:rPr>
                <w:sz w:val="18"/>
                <w:szCs w:val="18"/>
              </w:rPr>
              <w:t>PreGAN</w:t>
            </w:r>
            <w:proofErr w:type="spellEnd"/>
            <w:r w:rsidRPr="00712F64">
              <w:rPr>
                <w:sz w:val="18"/>
                <w:szCs w:val="18"/>
              </w:rPr>
              <w:t>+ [1]</w:t>
            </w:r>
          </w:p>
        </w:tc>
        <w:tc>
          <w:tcPr>
            <w:tcW w:w="1676" w:type="dxa"/>
            <w:tcMar>
              <w:top w:w="60" w:type="dxa"/>
              <w:left w:w="60" w:type="dxa"/>
              <w:bottom w:w="60" w:type="dxa"/>
              <w:right w:w="60" w:type="dxa"/>
            </w:tcMar>
          </w:tcPr>
          <w:p w14:paraId="398BFEF3" w14:textId="77777777" w:rsidR="000070B6" w:rsidRPr="00712F64" w:rsidRDefault="00000000">
            <w:pPr>
              <w:spacing w:line="220" w:lineRule="auto"/>
              <w:rPr>
                <w:sz w:val="18"/>
                <w:szCs w:val="18"/>
              </w:rPr>
            </w:pPr>
            <w:proofErr w:type="spellStart"/>
            <w:r w:rsidRPr="00712F64">
              <w:rPr>
                <w:sz w:val="18"/>
                <w:szCs w:val="18"/>
              </w:rPr>
              <w:t>GAN+Transformer</w:t>
            </w:r>
            <w:proofErr w:type="spellEnd"/>
            <w:r w:rsidRPr="00712F64">
              <w:rPr>
                <w:sz w:val="18"/>
                <w:szCs w:val="18"/>
              </w:rPr>
              <w:t xml:space="preserve"> predicts, migrates </w:t>
            </w:r>
            <w:proofErr w:type="spellStart"/>
            <w:r w:rsidRPr="00712F64">
              <w:rPr>
                <w:sz w:val="18"/>
                <w:szCs w:val="18"/>
              </w:rPr>
              <w:t>preemptively</w:t>
            </w:r>
            <w:proofErr w:type="spellEnd"/>
            <w:r w:rsidRPr="00712F64">
              <w:rPr>
                <w:sz w:val="18"/>
                <w:szCs w:val="18"/>
              </w:rPr>
              <w:t>.</w:t>
            </w:r>
          </w:p>
        </w:tc>
        <w:tc>
          <w:tcPr>
            <w:tcW w:w="1988" w:type="dxa"/>
            <w:tcMar>
              <w:top w:w="60" w:type="dxa"/>
              <w:left w:w="60" w:type="dxa"/>
              <w:bottom w:w="60" w:type="dxa"/>
              <w:right w:w="60" w:type="dxa"/>
            </w:tcMar>
          </w:tcPr>
          <w:p w14:paraId="4AC08D90" w14:textId="77777777" w:rsidR="000070B6" w:rsidRPr="00712F64" w:rsidRDefault="00000000">
            <w:pPr>
              <w:spacing w:line="220" w:lineRule="auto"/>
              <w:rPr>
                <w:sz w:val="18"/>
                <w:szCs w:val="18"/>
              </w:rPr>
            </w:pPr>
            <w:r w:rsidRPr="00712F64">
              <w:rPr>
                <w:sz w:val="18"/>
                <w:szCs w:val="18"/>
              </w:rPr>
              <w:t>Needs co-simulation, orchestrator access.</w:t>
            </w:r>
          </w:p>
        </w:tc>
      </w:tr>
      <w:tr w:rsidR="000070B6" w14:paraId="77CDE079" w14:textId="77777777" w:rsidTr="00712F64">
        <w:tblPrEx>
          <w:tblCellMar>
            <w:top w:w="0" w:type="dxa"/>
            <w:bottom w:w="0" w:type="dxa"/>
          </w:tblCellMar>
        </w:tblPrEx>
        <w:trPr>
          <w:cantSplit/>
          <w:trHeight w:val="549"/>
        </w:trPr>
        <w:tc>
          <w:tcPr>
            <w:tcW w:w="1241" w:type="dxa"/>
            <w:tcMar>
              <w:top w:w="60" w:type="dxa"/>
              <w:left w:w="60" w:type="dxa"/>
              <w:bottom w:w="60" w:type="dxa"/>
              <w:right w:w="60" w:type="dxa"/>
            </w:tcMar>
          </w:tcPr>
          <w:p w14:paraId="20022B67" w14:textId="77777777" w:rsidR="000070B6" w:rsidRPr="00712F64" w:rsidRDefault="00000000">
            <w:pPr>
              <w:spacing w:line="220" w:lineRule="auto"/>
              <w:rPr>
                <w:sz w:val="18"/>
                <w:szCs w:val="18"/>
              </w:rPr>
            </w:pPr>
            <w:proofErr w:type="spellStart"/>
            <w:r w:rsidRPr="00712F64">
              <w:rPr>
                <w:sz w:val="18"/>
                <w:szCs w:val="18"/>
              </w:rPr>
              <w:t>Deoxys</w:t>
            </w:r>
            <w:proofErr w:type="spellEnd"/>
            <w:r w:rsidRPr="00712F64">
              <w:rPr>
                <w:sz w:val="18"/>
                <w:szCs w:val="18"/>
              </w:rPr>
              <w:t xml:space="preserve"> [8]</w:t>
            </w:r>
          </w:p>
        </w:tc>
        <w:tc>
          <w:tcPr>
            <w:tcW w:w="1676" w:type="dxa"/>
            <w:tcMar>
              <w:top w:w="60" w:type="dxa"/>
              <w:left w:w="60" w:type="dxa"/>
              <w:bottom w:w="60" w:type="dxa"/>
              <w:right w:w="60" w:type="dxa"/>
            </w:tcMar>
          </w:tcPr>
          <w:p w14:paraId="0E47C784" w14:textId="77777777" w:rsidR="000070B6" w:rsidRPr="00712F64" w:rsidRDefault="00000000">
            <w:pPr>
              <w:spacing w:line="220" w:lineRule="auto"/>
              <w:rPr>
                <w:sz w:val="18"/>
                <w:szCs w:val="18"/>
              </w:rPr>
            </w:pPr>
            <w:r w:rsidRPr="00712F64">
              <w:rPr>
                <w:sz w:val="18"/>
                <w:szCs w:val="18"/>
              </w:rPr>
              <w:t>Causal forest from node history.</w:t>
            </w:r>
          </w:p>
        </w:tc>
        <w:tc>
          <w:tcPr>
            <w:tcW w:w="1988" w:type="dxa"/>
            <w:tcMar>
              <w:top w:w="60" w:type="dxa"/>
              <w:left w:w="60" w:type="dxa"/>
              <w:bottom w:w="60" w:type="dxa"/>
              <w:right w:w="60" w:type="dxa"/>
            </w:tcMar>
          </w:tcPr>
          <w:p w14:paraId="72BDD629" w14:textId="77777777" w:rsidR="000070B6" w:rsidRPr="00712F64" w:rsidRDefault="00000000">
            <w:pPr>
              <w:spacing w:line="220" w:lineRule="auto"/>
              <w:rPr>
                <w:sz w:val="18"/>
                <w:szCs w:val="18"/>
              </w:rPr>
            </w:pPr>
            <w:r w:rsidRPr="00712F64">
              <w:rPr>
                <w:sz w:val="18"/>
                <w:szCs w:val="18"/>
              </w:rPr>
              <w:t>Cluster telemetry, not client attempts.</w:t>
            </w:r>
          </w:p>
        </w:tc>
      </w:tr>
      <w:tr w:rsidR="000070B6" w14:paraId="13B2BD16" w14:textId="77777777" w:rsidTr="00712F64">
        <w:tblPrEx>
          <w:tblCellMar>
            <w:top w:w="0" w:type="dxa"/>
            <w:bottom w:w="0" w:type="dxa"/>
          </w:tblCellMar>
        </w:tblPrEx>
        <w:trPr>
          <w:cantSplit/>
          <w:trHeight w:val="824"/>
        </w:trPr>
        <w:tc>
          <w:tcPr>
            <w:tcW w:w="1241" w:type="dxa"/>
            <w:tcMar>
              <w:top w:w="60" w:type="dxa"/>
              <w:left w:w="60" w:type="dxa"/>
              <w:bottom w:w="60" w:type="dxa"/>
              <w:right w:w="60" w:type="dxa"/>
            </w:tcMar>
          </w:tcPr>
          <w:p w14:paraId="30296C48" w14:textId="77777777" w:rsidR="000070B6" w:rsidRPr="00712F64" w:rsidRDefault="00000000">
            <w:pPr>
              <w:spacing w:line="220" w:lineRule="auto"/>
              <w:rPr>
                <w:sz w:val="18"/>
                <w:szCs w:val="18"/>
              </w:rPr>
            </w:pPr>
            <w:r w:rsidRPr="00712F64">
              <w:rPr>
                <w:sz w:val="18"/>
                <w:szCs w:val="18"/>
              </w:rPr>
              <w:t>6G Slicing / Net. Ctrl. [3][12]</w:t>
            </w:r>
          </w:p>
        </w:tc>
        <w:tc>
          <w:tcPr>
            <w:tcW w:w="1676" w:type="dxa"/>
            <w:tcMar>
              <w:top w:w="60" w:type="dxa"/>
              <w:left w:w="60" w:type="dxa"/>
              <w:bottom w:w="60" w:type="dxa"/>
              <w:right w:w="60" w:type="dxa"/>
            </w:tcMar>
          </w:tcPr>
          <w:p w14:paraId="402BD668" w14:textId="77777777" w:rsidR="000070B6" w:rsidRPr="00712F64" w:rsidRDefault="00000000">
            <w:pPr>
              <w:spacing w:line="220" w:lineRule="auto"/>
              <w:rPr>
                <w:sz w:val="18"/>
                <w:szCs w:val="18"/>
              </w:rPr>
            </w:pPr>
            <w:r w:rsidRPr="00712F64">
              <w:rPr>
                <w:sz w:val="18"/>
                <w:szCs w:val="18"/>
              </w:rPr>
              <w:t>PSSP / throughput constraints.</w:t>
            </w:r>
          </w:p>
        </w:tc>
        <w:tc>
          <w:tcPr>
            <w:tcW w:w="1988" w:type="dxa"/>
            <w:tcMar>
              <w:top w:w="60" w:type="dxa"/>
              <w:left w:w="60" w:type="dxa"/>
              <w:bottom w:w="60" w:type="dxa"/>
              <w:right w:w="60" w:type="dxa"/>
            </w:tcMar>
          </w:tcPr>
          <w:p w14:paraId="6CCD1BDC" w14:textId="77777777" w:rsidR="000070B6" w:rsidRPr="00712F64" w:rsidRDefault="00000000">
            <w:pPr>
              <w:spacing w:line="220" w:lineRule="auto"/>
              <w:rPr>
                <w:sz w:val="18"/>
                <w:szCs w:val="18"/>
              </w:rPr>
            </w:pPr>
            <w:r w:rsidRPr="00712F64">
              <w:rPr>
                <w:sz w:val="18"/>
                <w:szCs w:val="18"/>
              </w:rPr>
              <w:t>Needs radio/orchestrator telemetry.</w:t>
            </w:r>
          </w:p>
        </w:tc>
      </w:tr>
      <w:tr w:rsidR="000070B6" w14:paraId="22825495" w14:textId="77777777" w:rsidTr="00712F64">
        <w:tblPrEx>
          <w:tblCellMar>
            <w:top w:w="0" w:type="dxa"/>
            <w:bottom w:w="0" w:type="dxa"/>
          </w:tblCellMar>
        </w:tblPrEx>
        <w:trPr>
          <w:cantSplit/>
          <w:trHeight w:val="549"/>
        </w:trPr>
        <w:tc>
          <w:tcPr>
            <w:tcW w:w="1241" w:type="dxa"/>
            <w:tcMar>
              <w:top w:w="60" w:type="dxa"/>
              <w:left w:w="60" w:type="dxa"/>
              <w:bottom w:w="60" w:type="dxa"/>
              <w:right w:w="60" w:type="dxa"/>
            </w:tcMar>
          </w:tcPr>
          <w:p w14:paraId="4B0CB9B3" w14:textId="77777777" w:rsidR="000070B6" w:rsidRPr="00712F64" w:rsidRDefault="00000000">
            <w:pPr>
              <w:spacing w:line="220" w:lineRule="auto"/>
              <w:rPr>
                <w:sz w:val="18"/>
                <w:szCs w:val="18"/>
              </w:rPr>
            </w:pPr>
            <w:r w:rsidRPr="00712F64">
              <w:rPr>
                <w:sz w:val="18"/>
                <w:szCs w:val="18"/>
              </w:rPr>
              <w:t>Satellite Link [5][6]</w:t>
            </w:r>
          </w:p>
        </w:tc>
        <w:tc>
          <w:tcPr>
            <w:tcW w:w="1676" w:type="dxa"/>
            <w:tcMar>
              <w:top w:w="60" w:type="dxa"/>
              <w:left w:w="60" w:type="dxa"/>
              <w:bottom w:w="60" w:type="dxa"/>
              <w:right w:w="60" w:type="dxa"/>
            </w:tcMar>
          </w:tcPr>
          <w:p w14:paraId="423CF785" w14:textId="77777777" w:rsidR="000070B6" w:rsidRPr="00712F64" w:rsidRDefault="00000000">
            <w:pPr>
              <w:spacing w:line="220" w:lineRule="auto"/>
              <w:rPr>
                <w:sz w:val="18"/>
                <w:szCs w:val="18"/>
              </w:rPr>
            </w:pPr>
            <w:r w:rsidRPr="00712F64">
              <w:rPr>
                <w:sz w:val="18"/>
                <w:szCs w:val="18"/>
              </w:rPr>
              <w:t>Learns orbital/link patterns.</w:t>
            </w:r>
          </w:p>
        </w:tc>
        <w:tc>
          <w:tcPr>
            <w:tcW w:w="1988" w:type="dxa"/>
            <w:tcMar>
              <w:top w:w="60" w:type="dxa"/>
              <w:left w:w="60" w:type="dxa"/>
              <w:bottom w:w="60" w:type="dxa"/>
              <w:right w:w="60" w:type="dxa"/>
            </w:tcMar>
          </w:tcPr>
          <w:p w14:paraId="37F08DF2" w14:textId="77777777" w:rsidR="000070B6" w:rsidRPr="00712F64" w:rsidRDefault="00000000">
            <w:pPr>
              <w:spacing w:line="220" w:lineRule="auto"/>
              <w:rPr>
                <w:sz w:val="18"/>
                <w:szCs w:val="18"/>
              </w:rPr>
            </w:pPr>
            <w:r w:rsidRPr="00712F64">
              <w:rPr>
                <w:sz w:val="18"/>
                <w:szCs w:val="18"/>
              </w:rPr>
              <w:t>Positional data, satellite-specific.</w:t>
            </w:r>
          </w:p>
        </w:tc>
      </w:tr>
      <w:tr w:rsidR="000070B6" w14:paraId="4E0C6390" w14:textId="77777777" w:rsidTr="00712F64">
        <w:tblPrEx>
          <w:tblCellMar>
            <w:top w:w="0" w:type="dxa"/>
            <w:bottom w:w="0" w:type="dxa"/>
          </w:tblCellMar>
        </w:tblPrEx>
        <w:trPr>
          <w:cantSplit/>
          <w:trHeight w:val="785"/>
        </w:trPr>
        <w:tc>
          <w:tcPr>
            <w:tcW w:w="1241" w:type="dxa"/>
            <w:tcMar>
              <w:top w:w="60" w:type="dxa"/>
              <w:left w:w="60" w:type="dxa"/>
              <w:bottom w:w="60" w:type="dxa"/>
              <w:right w:w="60" w:type="dxa"/>
            </w:tcMar>
          </w:tcPr>
          <w:p w14:paraId="7CF39F88" w14:textId="77777777" w:rsidR="000070B6" w:rsidRPr="00712F64" w:rsidRDefault="00000000">
            <w:pPr>
              <w:spacing w:line="220" w:lineRule="auto"/>
              <w:rPr>
                <w:sz w:val="18"/>
                <w:szCs w:val="18"/>
              </w:rPr>
            </w:pPr>
            <w:r w:rsidRPr="00712F64">
              <w:rPr>
                <w:sz w:val="18"/>
                <w:szCs w:val="18"/>
              </w:rPr>
              <w:t>This project</w:t>
            </w:r>
          </w:p>
        </w:tc>
        <w:tc>
          <w:tcPr>
            <w:tcW w:w="1676" w:type="dxa"/>
            <w:tcMar>
              <w:top w:w="60" w:type="dxa"/>
              <w:left w:w="60" w:type="dxa"/>
              <w:bottom w:w="60" w:type="dxa"/>
              <w:right w:w="60" w:type="dxa"/>
            </w:tcMar>
          </w:tcPr>
          <w:p w14:paraId="293C2895" w14:textId="77777777" w:rsidR="000070B6" w:rsidRPr="00712F64" w:rsidRDefault="00000000">
            <w:pPr>
              <w:spacing w:line="220" w:lineRule="auto"/>
              <w:rPr>
                <w:sz w:val="18"/>
                <w:szCs w:val="18"/>
              </w:rPr>
            </w:pPr>
            <w:r w:rsidRPr="00712F64">
              <w:rPr>
                <w:sz w:val="18"/>
                <w:szCs w:val="18"/>
              </w:rPr>
              <w:t>EWMA + burst detection; risk-scored reroute + pre-warm.</w:t>
            </w:r>
          </w:p>
        </w:tc>
        <w:tc>
          <w:tcPr>
            <w:tcW w:w="1988" w:type="dxa"/>
            <w:tcMar>
              <w:top w:w="60" w:type="dxa"/>
              <w:left w:w="60" w:type="dxa"/>
              <w:bottom w:w="60" w:type="dxa"/>
              <w:right w:w="60" w:type="dxa"/>
            </w:tcMar>
          </w:tcPr>
          <w:p w14:paraId="03ED9F7E" w14:textId="77777777" w:rsidR="000070B6" w:rsidRPr="00712F64" w:rsidRDefault="00000000">
            <w:pPr>
              <w:spacing w:line="220" w:lineRule="auto"/>
              <w:rPr>
                <w:sz w:val="18"/>
                <w:szCs w:val="18"/>
              </w:rPr>
            </w:pPr>
            <w:r w:rsidRPr="00712F64">
              <w:rPr>
                <w:sz w:val="18"/>
                <w:szCs w:val="18"/>
              </w:rPr>
              <w:t>None — no infra telemetry needed.</w:t>
            </w:r>
          </w:p>
        </w:tc>
      </w:tr>
    </w:tbl>
    <w:p w14:paraId="659A7484" w14:textId="77777777" w:rsidR="00712F64" w:rsidRDefault="00712F64">
      <w:pPr>
        <w:spacing w:after="120" w:line="264" w:lineRule="auto"/>
        <w:jc w:val="both"/>
      </w:pPr>
    </w:p>
    <w:p w14:paraId="4C546D65" w14:textId="38DF3253" w:rsidR="000070B6" w:rsidRDefault="00000000">
      <w:pPr>
        <w:spacing w:after="120" w:line="264" w:lineRule="auto"/>
        <w:jc w:val="both"/>
      </w:pPr>
      <w:r>
        <w:t xml:space="preserve">Two observations follow. First, every reactive pattern (pool eviction, circuit breaker, backoff) pays the cost of at least the first failure in every recurrence of an already-observed pattern — the system re-learns nothing between recurrences. Second, every genuinely predictive system surveyed in Section III operates above the application layer: </w:t>
      </w:r>
      <w:r>
        <w:t>container/VM orchestration [1][8][10], network slicing and cloud network control [3][12], IoT/MEC resource allocation [7], learned cluster-level failure models [4][9][11], or link-availability forecasting between infrastructure nodes [5][6]. None of them treat a client-side JDBC connection pool's own attempt history as the prediction signal for per-request endpoint routing.</w:t>
      </w:r>
    </w:p>
    <w:p w14:paraId="5DF58C9D" w14:textId="77777777" w:rsidR="000070B6" w:rsidRDefault="00000000">
      <w:pPr>
        <w:spacing w:before="200" w:after="100"/>
      </w:pPr>
      <w:r>
        <w:rPr>
          <w:b/>
          <w:bCs/>
        </w:rPr>
        <w:t>V. RESEARCH GAP IDENTIFIED</w:t>
      </w:r>
    </w:p>
    <w:p w14:paraId="30204378" w14:textId="77777777" w:rsidR="000070B6" w:rsidRDefault="00000000">
      <w:pPr>
        <w:spacing w:after="120" w:line="264" w:lineRule="auto"/>
        <w:jc w:val="both"/>
      </w:pPr>
      <w:r>
        <w:t>The gap, stated precisely: no widely used connection pool (</w:t>
      </w:r>
      <w:proofErr w:type="spellStart"/>
      <w:r>
        <w:t>HikariCP</w:t>
      </w:r>
      <w:proofErr w:type="spellEnd"/>
      <w:r>
        <w:t>, DBCP2, c3p0) combined with a standard resilience wrapper (Hystrix, Resilience4j) retains per-endpoint failure history across time, and consequently none can distinguish a structurally unreliable time window from a genuinely random failure — both are handled identically, by reacting after the fact. The predictive systems reviewed in this paper [1]–[12] are, without exception, effective and well-evaluated at the layer they target, but every one of them either requires infrastructure-level telemetry or access the target has and a JDBC connection pool does not (hypervisor/host metrics [1][8][10], orchestrator/scheduler control [1][10], radio/network-slice telemetry [3][12], or orbital/positional data [5][6]), or operates on cluster-level aggregate telemetry rather than a single client's own per-endpoint attempt log [4][9][11]. This project's gap, stated as a single sentence: an application-level JDBC connection pool that treats its own failure history as a first-class, learned signal for pre-emptive per-request routing and pre-warming, requiring no external telemetry, no orchestrator access, no co-simulation infrastructure, and no changes to the database or endpoint.</w:t>
      </w:r>
    </w:p>
    <w:p w14:paraId="60C923AA" w14:textId="77777777" w:rsidR="000070B6" w:rsidRDefault="00000000">
      <w:pPr>
        <w:spacing w:before="200" w:after="100"/>
      </w:pPr>
      <w:r>
        <w:rPr>
          <w:b/>
          <w:bCs/>
        </w:rPr>
        <w:t>VI. PROPOSED SOLUTION AND METHODOLOGY</w:t>
      </w:r>
    </w:p>
    <w:p w14:paraId="1F6A1F21" w14:textId="77777777" w:rsidR="000070B6" w:rsidRDefault="00000000">
      <w:pPr>
        <w:spacing w:after="120" w:line="264" w:lineRule="auto"/>
        <w:jc w:val="both"/>
      </w:pPr>
      <w:r>
        <w:t xml:space="preserve">In direct response to the identified gap, the proposed system is a three-layer, drop-in decorator around a standard JDBC </w:t>
      </w:r>
      <w:proofErr w:type="spellStart"/>
      <w:r>
        <w:t>DataSource</w:t>
      </w:r>
      <w:proofErr w:type="spellEnd"/>
      <w:r>
        <w:t>. Layer 1 (failure memory) records every connection attempt — timestamp, endpoint, outcome, failure type, duration — in a bounded, thread-safe per-endpoint store, and derives an hourly EWMA failure-rate profile together with a run-length cluster state that distinguishes an active burst from an isolated failure. Layer 2 (predictive rerouting) computes a per-endpoint risk score, risk = α·</w:t>
      </w:r>
      <w:proofErr w:type="spellStart"/>
      <w:r>
        <w:t>time_of_day_failure_rate</w:t>
      </w:r>
      <w:proofErr w:type="spellEnd"/>
      <w:r>
        <w:t xml:space="preserve"> + β·</w:t>
      </w:r>
      <w:proofErr w:type="spellStart"/>
      <w:r>
        <w:t>cluster_penalty</w:t>
      </w:r>
      <w:proofErr w:type="spellEnd"/>
      <w:r>
        <w:t xml:space="preserve"> + </w:t>
      </w:r>
      <w:proofErr w:type="spellStart"/>
      <w:r>
        <w:t>γ·recent_failure_rate</w:t>
      </w:r>
      <w:proofErr w:type="spellEnd"/>
      <w:r>
        <w:t xml:space="preserve">, and silently routes new requests to the lowest-risk endpoint before a failure occurs. Layer 3 (pre-warming) uses a scheduled monitor that, on predicting a high-risk window within the next N minutes, begins establishing and validating backup connections ahead of that window, so that when traffic is rerouted at Layer 2 there is zero connection-establishment latency at the point of failover. This design deliberately mirrors the predict-then-act structure common to [1], [3], [8], and [12], while remaining feasible for a final-year Advanced Java project: every dependency </w:t>
      </w:r>
      <w:r>
        <w:lastRenderedPageBreak/>
        <w:t>(</w:t>
      </w:r>
      <w:proofErr w:type="spellStart"/>
      <w:r>
        <w:t>java.sql</w:t>
      </w:r>
      <w:proofErr w:type="spellEnd"/>
      <w:r>
        <w:t xml:space="preserve">, </w:t>
      </w:r>
      <w:proofErr w:type="spellStart"/>
      <w:r>
        <w:t>java.util.concurrent</w:t>
      </w:r>
      <w:proofErr w:type="spellEnd"/>
      <w:r>
        <w:t>, Spring lifecycle annotations, RMI, JavaFX) is part of the JDK or a standard library, and feasibility is validated with a deterministic flaky-endpoint simulator that reproduces the three motivating failure patterns from Section I in a controlled, repeatable way.</w:t>
      </w:r>
    </w:p>
    <w:p w14:paraId="4538FDD2" w14:textId="77777777" w:rsidR="000070B6" w:rsidRDefault="00000000">
      <w:pPr>
        <w:spacing w:before="200" w:after="100"/>
      </w:pPr>
      <w:r>
        <w:rPr>
          <w:b/>
          <w:bCs/>
        </w:rPr>
        <w:t>VII. CONCLUSION</w:t>
      </w:r>
    </w:p>
    <w:p w14:paraId="366E2A0C" w14:textId="77777777" w:rsidR="000070B6" w:rsidRDefault="00000000">
      <w:pPr>
        <w:spacing w:after="120" w:line="264" w:lineRule="auto"/>
        <w:jc w:val="both"/>
      </w:pPr>
      <w:r>
        <w:t>The 2024–2026 literature on fault tolerance shows a consistent, well-evidenced shift from reactive detection to predictive, pre-emptive remediation, across mobile edge orchestration, 6G network slicing, cloud infrastructure health management, IoT resource allocation, and satellite/cellular connectivity prediction. This shift has not, however, reached the application-level JDBC connection pool: every predictive system reviewed here depends on a form of infrastructure access — orchestrator control, network telemetry, cluster-wide traces, or orbital data — that a client-side connection pool does not have. This paper has used that literature to motivate and precisely scope a lightweight, client-side alternative: a connection pool that learns per-endpoint failure structure from nothing but its own attempt history, and acts on that structure before, rather than after, the next occurrence of an already-seen failure pattern.</w:t>
      </w:r>
    </w:p>
    <w:p w14:paraId="3B4FD026" w14:textId="77777777" w:rsidR="000070B6" w:rsidRDefault="00000000">
      <w:pPr>
        <w:spacing w:before="160" w:after="100"/>
      </w:pPr>
      <w:r>
        <w:rPr>
          <w:b/>
          <w:bCs/>
        </w:rPr>
        <w:t>REFERENCES</w:t>
      </w:r>
    </w:p>
    <w:p w14:paraId="7FF107B6" w14:textId="77777777" w:rsidR="000070B6" w:rsidRDefault="00000000">
      <w:pPr>
        <w:spacing w:after="80"/>
        <w:ind w:left="316" w:hanging="316"/>
      </w:pPr>
      <w:r>
        <w:rPr>
          <w:sz w:val="18"/>
          <w:szCs w:val="18"/>
        </w:rPr>
        <w:t>[1] S. Tuli, G. Casale, and N. R. Jennings, "</w:t>
      </w:r>
      <w:proofErr w:type="spellStart"/>
      <w:r>
        <w:rPr>
          <w:sz w:val="18"/>
          <w:szCs w:val="18"/>
        </w:rPr>
        <w:t>PreGAN</w:t>
      </w:r>
      <w:proofErr w:type="spellEnd"/>
      <w:r>
        <w:rPr>
          <w:sz w:val="18"/>
          <w:szCs w:val="18"/>
        </w:rPr>
        <w:t xml:space="preserve">+: Semi-Supervised Fault Prediction and </w:t>
      </w:r>
      <w:proofErr w:type="spellStart"/>
      <w:r>
        <w:rPr>
          <w:sz w:val="18"/>
          <w:szCs w:val="18"/>
        </w:rPr>
        <w:t>Preemptive</w:t>
      </w:r>
      <w:proofErr w:type="spellEnd"/>
      <w:r>
        <w:rPr>
          <w:sz w:val="18"/>
          <w:szCs w:val="18"/>
        </w:rPr>
        <w:t xml:space="preserve"> Migration in Dynamic Mobile Edge Environments," IEEE Transactions on Mobile Computing, vol. 23, no. 6, pp. 6881–6895, 2024.</w:t>
      </w:r>
    </w:p>
    <w:p w14:paraId="5CC1BD03" w14:textId="77777777" w:rsidR="000070B6" w:rsidRDefault="00000000">
      <w:pPr>
        <w:spacing w:after="80"/>
        <w:ind w:left="316" w:hanging="316"/>
      </w:pPr>
      <w:r>
        <w:rPr>
          <w:sz w:val="18"/>
          <w:szCs w:val="18"/>
        </w:rPr>
        <w:t>[2] M. Mohammad, "Resilient Microservices: A Systematic Review of Recovery Patterns, Strategies, and Evaluation Frameworks," arXiv:2512.16959, 2025.</w:t>
      </w:r>
    </w:p>
    <w:p w14:paraId="0F7D0B83" w14:textId="77777777" w:rsidR="000070B6" w:rsidRDefault="00000000">
      <w:pPr>
        <w:spacing w:after="80"/>
        <w:ind w:left="316" w:hanging="316"/>
      </w:pPr>
      <w:r>
        <w:rPr>
          <w:sz w:val="18"/>
          <w:szCs w:val="18"/>
        </w:rPr>
        <w:t xml:space="preserve">[3] A. </w:t>
      </w:r>
      <w:proofErr w:type="spellStart"/>
      <w:r>
        <w:rPr>
          <w:sz w:val="18"/>
          <w:szCs w:val="18"/>
        </w:rPr>
        <w:t>Nouruzi</w:t>
      </w:r>
      <w:proofErr w:type="spellEnd"/>
      <w:r>
        <w:rPr>
          <w:sz w:val="18"/>
          <w:szCs w:val="18"/>
        </w:rPr>
        <w:t xml:space="preserve">, N. </w:t>
      </w:r>
      <w:proofErr w:type="spellStart"/>
      <w:r>
        <w:rPr>
          <w:sz w:val="18"/>
          <w:szCs w:val="18"/>
        </w:rPr>
        <w:t>Mokari</w:t>
      </w:r>
      <w:proofErr w:type="spellEnd"/>
      <w:r>
        <w:rPr>
          <w:sz w:val="18"/>
          <w:szCs w:val="18"/>
        </w:rPr>
        <w:t xml:space="preserve">, P. Azmi, E. A. </w:t>
      </w:r>
      <w:proofErr w:type="spellStart"/>
      <w:r>
        <w:rPr>
          <w:sz w:val="18"/>
          <w:szCs w:val="18"/>
        </w:rPr>
        <w:t>Jorswieck</w:t>
      </w:r>
      <w:proofErr w:type="spellEnd"/>
      <w:r>
        <w:rPr>
          <w:sz w:val="18"/>
          <w:szCs w:val="18"/>
        </w:rPr>
        <w:t>, and M. Erol-</w:t>
      </w:r>
      <w:proofErr w:type="spellStart"/>
      <w:r>
        <w:rPr>
          <w:sz w:val="18"/>
          <w:szCs w:val="18"/>
        </w:rPr>
        <w:t>Kantarci</w:t>
      </w:r>
      <w:proofErr w:type="spellEnd"/>
      <w:r>
        <w:rPr>
          <w:sz w:val="18"/>
          <w:szCs w:val="18"/>
        </w:rPr>
        <w:t>, "AI-Based E2E Resilient and Proactive Resource Management in Slice-Enabled 6G Networks," IEEE Transactions on Network Science and Engineering, vol. 12, no. 2, pp. 1311–1328, 2025.</w:t>
      </w:r>
    </w:p>
    <w:p w14:paraId="4B2F57E3" w14:textId="77777777" w:rsidR="000070B6" w:rsidRDefault="00000000">
      <w:pPr>
        <w:spacing w:after="80"/>
        <w:ind w:left="316" w:hanging="316"/>
      </w:pPr>
      <w:r>
        <w:rPr>
          <w:sz w:val="18"/>
          <w:szCs w:val="18"/>
        </w:rPr>
        <w:t>[4] S. Tripathi, P. Gupta, R. Misra, and T. N. Singh, "GQAT-Net: A Calibrated Attention Model for Failure Prediction in Large-Scale Distributed Systems," Journal of Grid Computing, vol. 23, no. 4, art. 25, 2025.</w:t>
      </w:r>
    </w:p>
    <w:p w14:paraId="724B7B40" w14:textId="77777777" w:rsidR="000070B6" w:rsidRDefault="00000000">
      <w:pPr>
        <w:spacing w:after="80"/>
        <w:ind w:left="316" w:hanging="316"/>
      </w:pPr>
      <w:r>
        <w:rPr>
          <w:sz w:val="18"/>
          <w:szCs w:val="18"/>
        </w:rPr>
        <w:t xml:space="preserve">[5] E. Ferrer, J. A. Ruiz-de-Azua, F. </w:t>
      </w:r>
      <w:proofErr w:type="spellStart"/>
      <w:r>
        <w:rPr>
          <w:sz w:val="18"/>
          <w:szCs w:val="18"/>
        </w:rPr>
        <w:t>Betorz</w:t>
      </w:r>
      <w:proofErr w:type="spellEnd"/>
      <w:r>
        <w:rPr>
          <w:sz w:val="18"/>
          <w:szCs w:val="18"/>
        </w:rPr>
        <w:t>, et al., "Inter-Satellite Link Prediction with Supervised Learning Based on Kepler and SGP4 Orbits," International Journal of Computational Intelligence Systems, vol. 17, art. 217, 2024.</w:t>
      </w:r>
    </w:p>
    <w:p w14:paraId="54C433A5" w14:textId="77777777" w:rsidR="000070B6" w:rsidRDefault="00000000">
      <w:pPr>
        <w:spacing w:after="80"/>
        <w:ind w:left="316" w:hanging="316"/>
      </w:pPr>
      <w:r>
        <w:rPr>
          <w:sz w:val="18"/>
          <w:szCs w:val="18"/>
        </w:rPr>
        <w:t xml:space="preserve">[6] C. Yan and B. </w:t>
      </w:r>
      <w:proofErr w:type="spellStart"/>
      <w:r>
        <w:rPr>
          <w:sz w:val="18"/>
          <w:szCs w:val="18"/>
        </w:rPr>
        <w:t>Mafakheri</w:t>
      </w:r>
      <w:proofErr w:type="spellEnd"/>
      <w:r>
        <w:rPr>
          <w:sz w:val="18"/>
          <w:szCs w:val="18"/>
        </w:rPr>
        <w:t>, "Satellite Connectivity Prediction for Fast-Moving Platforms," arXiv:2508.00877, 2025.</w:t>
      </w:r>
    </w:p>
    <w:p w14:paraId="05FE2247" w14:textId="77777777" w:rsidR="000070B6" w:rsidRDefault="00000000">
      <w:pPr>
        <w:spacing w:after="80"/>
        <w:ind w:left="316" w:hanging="316"/>
      </w:pPr>
      <w:r>
        <w:rPr>
          <w:sz w:val="18"/>
          <w:szCs w:val="18"/>
        </w:rPr>
        <w:t xml:space="preserve">[7] W. </w:t>
      </w:r>
      <w:proofErr w:type="spellStart"/>
      <w:r>
        <w:rPr>
          <w:sz w:val="18"/>
          <w:szCs w:val="18"/>
        </w:rPr>
        <w:t>Symbor</w:t>
      </w:r>
      <w:proofErr w:type="spellEnd"/>
      <w:r>
        <w:rPr>
          <w:sz w:val="18"/>
          <w:szCs w:val="18"/>
        </w:rPr>
        <w:t xml:space="preserve"> and Ł. Falas, "Ensuring Reliable Network Communication and Data Processing in Internet of Things Systems with Prediction-Based Resource Allocation," Sensors, vol. 25, no. 1, art. 247, 2025.</w:t>
      </w:r>
    </w:p>
    <w:p w14:paraId="0175AF66" w14:textId="77777777" w:rsidR="000070B6" w:rsidRDefault="00000000">
      <w:pPr>
        <w:spacing w:after="80"/>
        <w:ind w:left="316" w:hanging="316"/>
      </w:pPr>
      <w:r>
        <w:rPr>
          <w:sz w:val="18"/>
          <w:szCs w:val="18"/>
        </w:rPr>
        <w:t>[8] C. Zhang, R. Yao, S. Qin, Z. Li, S. Agrawal, B. R. Mishra, T. Tran, M. Ma, Q. Lin, M. Chintalapati, and D. Zhang, "</w:t>
      </w:r>
      <w:proofErr w:type="spellStart"/>
      <w:r>
        <w:rPr>
          <w:sz w:val="18"/>
          <w:szCs w:val="18"/>
        </w:rPr>
        <w:t>Deoxys</w:t>
      </w:r>
      <w:proofErr w:type="spellEnd"/>
      <w:r>
        <w:rPr>
          <w:sz w:val="18"/>
          <w:szCs w:val="18"/>
        </w:rPr>
        <w:t>: A Causal Inference Engine for Unhealthy Node Mitigation in Large-Scale Cloud Infrastructure," in Proc. ACM Symposium on Cloud Computing (SoCC), 2024.</w:t>
      </w:r>
    </w:p>
    <w:p w14:paraId="1AD698F9" w14:textId="77777777" w:rsidR="000070B6" w:rsidRDefault="00000000">
      <w:pPr>
        <w:spacing w:after="80"/>
        <w:ind w:left="316" w:hanging="316"/>
      </w:pPr>
      <w:r>
        <w:rPr>
          <w:sz w:val="18"/>
          <w:szCs w:val="18"/>
        </w:rPr>
        <w:t>[9] W. Xiao, W. Song, M. Chen, R. Luo, and M. Chen, "FT-</w:t>
      </w:r>
      <w:proofErr w:type="spellStart"/>
      <w:r>
        <w:rPr>
          <w:sz w:val="18"/>
          <w:szCs w:val="18"/>
        </w:rPr>
        <w:t>MoE</w:t>
      </w:r>
      <w:proofErr w:type="spellEnd"/>
      <w:r>
        <w:rPr>
          <w:sz w:val="18"/>
          <w:szCs w:val="18"/>
        </w:rPr>
        <w:t>: Sustainable-Learning Mixture of Experts for Fault-Tolerant Computing," arXiv:2504.20446, 2025.</w:t>
      </w:r>
    </w:p>
    <w:p w14:paraId="35B755C9" w14:textId="77777777" w:rsidR="000070B6" w:rsidRDefault="00000000">
      <w:pPr>
        <w:spacing w:after="80"/>
        <w:ind w:left="316" w:hanging="316"/>
      </w:pPr>
      <w:r>
        <w:rPr>
          <w:sz w:val="18"/>
          <w:szCs w:val="18"/>
        </w:rPr>
        <w:t>[10] Y. Zhang, G. Xia, C. Yu, H. Li, and H. Li, "Fault-Tolerant Scheduling Mechanism for Dynamic Edge Computing Scenarios Based on Graph Reinforcement Learning," Sensors, vol. 24, no. 21, art. 6984, 2024.</w:t>
      </w:r>
    </w:p>
    <w:p w14:paraId="5562D061" w14:textId="77777777" w:rsidR="000070B6" w:rsidRDefault="00000000">
      <w:pPr>
        <w:spacing w:after="80"/>
        <w:ind w:left="316" w:hanging="316"/>
      </w:pPr>
      <w:r>
        <w:rPr>
          <w:sz w:val="18"/>
          <w:szCs w:val="18"/>
        </w:rPr>
        <w:t>[11] C. Ji and H. Luo, "Cloud-Based AI Systems: Leveraging Large Language Models for Intelligent Fault Detection and Autonomous Self-Healing," arXiv:2505.11743, 2025.</w:t>
      </w:r>
    </w:p>
    <w:p w14:paraId="4AE0FEFE" w14:textId="77777777" w:rsidR="000070B6" w:rsidRDefault="00000000">
      <w:pPr>
        <w:spacing w:after="80"/>
        <w:ind w:left="316" w:hanging="316"/>
      </w:pPr>
      <w:r>
        <w:rPr>
          <w:sz w:val="18"/>
          <w:szCs w:val="18"/>
        </w:rPr>
        <w:t>[12] C.-W. Huang, J. Llorca, A. M. Tulino, and A. F. Molisch, "Resilient and Reliable Cloud Network Control for Mission-Critical Latency-Sensitive Service Chains," arXiv:2511.21960, 2025.</w:t>
      </w:r>
    </w:p>
    <w:p w14:paraId="34A32360" w14:textId="77777777" w:rsidR="000070B6" w:rsidRDefault="00000000">
      <w:pPr>
        <w:spacing w:after="80"/>
        <w:ind w:left="316" w:hanging="316"/>
      </w:pPr>
      <w:r>
        <w:rPr>
          <w:sz w:val="18"/>
          <w:szCs w:val="18"/>
        </w:rPr>
        <w:t xml:space="preserve">[13] N. Hayashibara, X. </w:t>
      </w:r>
      <w:proofErr w:type="spellStart"/>
      <w:r>
        <w:rPr>
          <w:sz w:val="18"/>
          <w:szCs w:val="18"/>
        </w:rPr>
        <w:t>Défago</w:t>
      </w:r>
      <w:proofErr w:type="spellEnd"/>
      <w:r>
        <w:rPr>
          <w:sz w:val="18"/>
          <w:szCs w:val="18"/>
        </w:rPr>
        <w:t>, R. Yared, and T. Katayama, "The ϕ Accrual Failure Detector," in Proc. 23rd IEEE International Symposium on Reliable Distributed Systems (SRDS), 2004. (Background: reactive/adaptive baseline.)</w:t>
      </w:r>
    </w:p>
    <w:p w14:paraId="7190F031" w14:textId="77777777" w:rsidR="000070B6" w:rsidRDefault="00000000">
      <w:pPr>
        <w:spacing w:after="80"/>
        <w:ind w:left="316" w:hanging="316"/>
      </w:pPr>
      <w:r>
        <w:rPr>
          <w:sz w:val="18"/>
          <w:szCs w:val="18"/>
        </w:rPr>
        <w:t>[14] Netflix, Inc., "Hystrix: Latency and Fault Tolerance Library for Distributed Systems," GitHub repository, Netflix/Hystrix. (Background: reactive baseline.)</w:t>
      </w:r>
    </w:p>
    <w:p w14:paraId="605B6B3B" w14:textId="77777777" w:rsidR="000070B6" w:rsidRDefault="00000000">
      <w:pPr>
        <w:spacing w:after="80"/>
        <w:ind w:left="316" w:hanging="316"/>
      </w:pPr>
      <w:r>
        <w:rPr>
          <w:sz w:val="18"/>
          <w:szCs w:val="18"/>
        </w:rPr>
        <w:t>[15] "Self-Adaptive Dynamic Connection Pool Management Method," Proc. 2022 Int. Conf. on Information System and Management, ACM, DOI: 10.1145/3577530.3577577. (Background: adjacent, pre-2024 work.)</w:t>
      </w:r>
    </w:p>
    <w:p w14:paraId="2E2D91C6" w14:textId="77777777" w:rsidR="000070B6" w:rsidRDefault="00000000">
      <w:pPr>
        <w:spacing w:after="80"/>
        <w:ind w:left="316" w:hanging="316"/>
      </w:pPr>
      <w:r>
        <w:rPr>
          <w:sz w:val="18"/>
          <w:szCs w:val="18"/>
        </w:rPr>
        <w:t xml:space="preserve">[16] A. Aral and I. </w:t>
      </w:r>
      <w:proofErr w:type="spellStart"/>
      <w:r>
        <w:rPr>
          <w:sz w:val="18"/>
          <w:szCs w:val="18"/>
        </w:rPr>
        <w:t>Brandic</w:t>
      </w:r>
      <w:proofErr w:type="spellEnd"/>
      <w:r>
        <w:rPr>
          <w:sz w:val="18"/>
          <w:szCs w:val="18"/>
        </w:rPr>
        <w:t>, "Learning Spatiotemporal Failure Dependencies for Resilient Edge Computing Services," IEEE Transactions on Parallel and Distributed Systems, vol. 32, no. 7, pp. 1578–1590, 2021. (Background: adjacent, pre-2024 work.)</w:t>
      </w:r>
    </w:p>
    <w:sectPr w:rsidR="000070B6">
      <w:type w:val="continuous"/>
      <w:pgSz w:w="12240" w:h="15840"/>
      <w:pgMar w:top="1080" w:right="1080" w:bottom="144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72619E"/>
    <w:multiLevelType w:val="hybridMultilevel"/>
    <w:tmpl w:val="633EDF24"/>
    <w:lvl w:ilvl="0" w:tplc="FC781820">
      <w:start w:val="1"/>
      <w:numFmt w:val="bullet"/>
      <w:lvlText w:val="●"/>
      <w:lvlJc w:val="left"/>
      <w:pPr>
        <w:ind w:left="720" w:hanging="360"/>
      </w:pPr>
    </w:lvl>
    <w:lvl w:ilvl="1" w:tplc="F66E8AF0">
      <w:start w:val="1"/>
      <w:numFmt w:val="bullet"/>
      <w:lvlText w:val="○"/>
      <w:lvlJc w:val="left"/>
      <w:pPr>
        <w:ind w:left="1440" w:hanging="360"/>
      </w:pPr>
    </w:lvl>
    <w:lvl w:ilvl="2" w:tplc="A4D4E434">
      <w:start w:val="1"/>
      <w:numFmt w:val="bullet"/>
      <w:lvlText w:val="■"/>
      <w:lvlJc w:val="left"/>
      <w:pPr>
        <w:ind w:left="2160" w:hanging="360"/>
      </w:pPr>
    </w:lvl>
    <w:lvl w:ilvl="3" w:tplc="5D3C6512">
      <w:start w:val="1"/>
      <w:numFmt w:val="bullet"/>
      <w:lvlText w:val="●"/>
      <w:lvlJc w:val="left"/>
      <w:pPr>
        <w:ind w:left="2880" w:hanging="360"/>
      </w:pPr>
    </w:lvl>
    <w:lvl w:ilvl="4" w:tplc="0414ACF6">
      <w:start w:val="1"/>
      <w:numFmt w:val="bullet"/>
      <w:lvlText w:val="○"/>
      <w:lvlJc w:val="left"/>
      <w:pPr>
        <w:ind w:left="3600" w:hanging="360"/>
      </w:pPr>
    </w:lvl>
    <w:lvl w:ilvl="5" w:tplc="FE74371A">
      <w:start w:val="1"/>
      <w:numFmt w:val="bullet"/>
      <w:lvlText w:val="■"/>
      <w:lvlJc w:val="left"/>
      <w:pPr>
        <w:ind w:left="4320" w:hanging="360"/>
      </w:pPr>
    </w:lvl>
    <w:lvl w:ilvl="6" w:tplc="56EE708C">
      <w:start w:val="1"/>
      <w:numFmt w:val="bullet"/>
      <w:lvlText w:val="●"/>
      <w:lvlJc w:val="left"/>
      <w:pPr>
        <w:ind w:left="5040" w:hanging="360"/>
      </w:pPr>
    </w:lvl>
    <w:lvl w:ilvl="7" w:tplc="47D89F22">
      <w:start w:val="1"/>
      <w:numFmt w:val="bullet"/>
      <w:lvlText w:val="●"/>
      <w:lvlJc w:val="left"/>
      <w:pPr>
        <w:ind w:left="5760" w:hanging="360"/>
      </w:pPr>
    </w:lvl>
    <w:lvl w:ilvl="8" w:tplc="4EE03CCA">
      <w:start w:val="1"/>
      <w:numFmt w:val="bullet"/>
      <w:lvlText w:val="●"/>
      <w:lvlJc w:val="left"/>
      <w:pPr>
        <w:ind w:left="6480" w:hanging="360"/>
      </w:pPr>
    </w:lvl>
  </w:abstractNum>
  <w:abstractNum w:abstractNumId="1" w15:restartNumberingAfterBreak="0">
    <w:nsid w:val="3A0F0B7B"/>
    <w:multiLevelType w:val="hybridMultilevel"/>
    <w:tmpl w:val="4774BBD0"/>
    <w:lvl w:ilvl="0" w:tplc="89A4E2D8">
      <w:start w:val="1"/>
      <w:numFmt w:val="bullet"/>
      <w:lvlText w:val="•"/>
      <w:lvlJc w:val="left"/>
      <w:pPr>
        <w:ind w:left="420" w:hanging="260"/>
      </w:pPr>
    </w:lvl>
    <w:lvl w:ilvl="1" w:tplc="2460F518">
      <w:start w:val="1"/>
      <w:numFmt w:val="bullet"/>
      <w:lvlText w:val="◦"/>
      <w:lvlJc w:val="left"/>
      <w:pPr>
        <w:ind w:left="840" w:hanging="260"/>
      </w:pPr>
    </w:lvl>
    <w:lvl w:ilvl="2" w:tplc="65FAC35A">
      <w:numFmt w:val="decimal"/>
      <w:lvlText w:val=""/>
      <w:lvlJc w:val="left"/>
    </w:lvl>
    <w:lvl w:ilvl="3" w:tplc="DC58D150">
      <w:numFmt w:val="decimal"/>
      <w:lvlText w:val=""/>
      <w:lvlJc w:val="left"/>
    </w:lvl>
    <w:lvl w:ilvl="4" w:tplc="6D90A390">
      <w:numFmt w:val="decimal"/>
      <w:lvlText w:val=""/>
      <w:lvlJc w:val="left"/>
    </w:lvl>
    <w:lvl w:ilvl="5" w:tplc="73448FEE">
      <w:numFmt w:val="decimal"/>
      <w:lvlText w:val=""/>
      <w:lvlJc w:val="left"/>
    </w:lvl>
    <w:lvl w:ilvl="6" w:tplc="1E6A2904">
      <w:numFmt w:val="decimal"/>
      <w:lvlText w:val=""/>
      <w:lvlJc w:val="left"/>
    </w:lvl>
    <w:lvl w:ilvl="7" w:tplc="0C9AE3C4">
      <w:numFmt w:val="decimal"/>
      <w:lvlText w:val=""/>
      <w:lvlJc w:val="left"/>
    </w:lvl>
    <w:lvl w:ilvl="8" w:tplc="6CC06DF4">
      <w:numFmt w:val="decimal"/>
      <w:lvlText w:val=""/>
      <w:lvlJc w:val="left"/>
    </w:lvl>
  </w:abstractNum>
  <w:num w:numId="1" w16cid:durableId="1390151196">
    <w:abstractNumId w:val="0"/>
    <w:lvlOverride w:ilvl="0">
      <w:startOverride w:val="1"/>
    </w:lvlOverride>
  </w:num>
  <w:num w:numId="2" w16cid:durableId="180396455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0B6"/>
    <w:rsid w:val="000070B6"/>
    <w:rsid w:val="00712F64"/>
    <w:rsid w:val="00E844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8E41539"/>
  <w15:docId w15:val="{BEA099D4-3522-564D-B2ED-7EC3BB7C9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2867</Words>
  <Characters>16344</Characters>
  <Application>Microsoft Office Word</Application>
  <DocSecurity>0</DocSecurity>
  <Lines>136</Lines>
  <Paragraphs>38</Paragraphs>
  <ScaleCrop>false</ScaleCrop>
  <Company/>
  <LinksUpToDate>false</LinksUpToDate>
  <CharactersWithSpaces>19173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Tanvi Singh</cp:lastModifiedBy>
  <cp:revision>2</cp:revision>
  <dcterms:created xsi:type="dcterms:W3CDTF">2026-08-07T18:04:00Z</dcterms:created>
  <dcterms:modified xsi:type="dcterms:W3CDTF">2026-08-08T05:00:00Z</dcterms:modified>
</cp:coreProperties>
</file>