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36" w:lineRule="auto"/>
      </w:pPr>
    </w:p>
    <w:p>
      <w:pPr>
        <w:spacing w:before="0" w:after="0" w:line="336" w:lineRule="auto"/>
      </w:pPr>
    </w:p>
    <w:p>
      <w:pPr>
        <w:spacing w:before="0" w:after="520" w:line="336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湖南现代物流职业技术学院 · 产教融合项目管理系统</w:t>
      </w:r>
    </w:p>
    <w:p>
      <w:pPr>
        <w:spacing w:before="40" w:after="160"/>
        <w:pBdr>
          <w:bottom w:val="single" w:sz="8" w:space="1" w:color="1F3864"/>
        </w:pBdr>
      </w:pPr>
    </w:p>
    <w:p>
      <w:pPr>
        <w:spacing w:before="600" w:after="160" w:line="336" w:lineRule="auto"/>
        <w:jc w:val="center"/>
      </w:pPr>
      <w:r>
        <w:rPr>
          <w:rFonts w:ascii="微软雅黑" w:hAnsi="微软雅黑" w:eastAsia="微软雅黑"/>
          <w:b/>
          <w:color w:val="1F3864"/>
          <w:sz w:val="54"/>
        </w:rPr>
        <w:t>需 学 校 确 认 事 项 清 单</w:t>
      </w:r>
    </w:p>
    <w:p>
      <w:pPr>
        <w:spacing w:before="0" w:after="80" w:line="336" w:lineRule="auto"/>
        <w:jc w:val="center"/>
      </w:pPr>
      <w:r>
        <w:rPr>
          <w:rFonts w:ascii="微软雅黑" w:hAnsi="微软雅黑" w:eastAsia="微软雅黑"/>
          <w:b w:val="0"/>
          <w:color w:val="C0502A"/>
          <w:sz w:val="26"/>
        </w:rPr>
        <w:t>42 项确认事项 ＋ 5 项需学校提供的资源</w:t>
      </w:r>
    </w:p>
    <w:p>
      <w:pPr>
        <w:spacing w:before="0" w:after="600" w:line="336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提炼自《产教融合项目管理系统·需求方案说明书》V1.4 第六章</w:t>
      </w:r>
    </w:p>
    <w:p>
      <w:pPr>
        <w:spacing w:before="40" w:after="160"/>
        <w:pBdr>
          <w:bottom w:val="single" w:sz="8" w:space="1" w:color="1F3864"/>
        </w:pBdr>
      </w:pPr>
    </w:p>
    <w:p>
      <w:pPr>
        <w:spacing w:before="0" w:after="0" w:line="336" w:lineRule="auto"/>
      </w:pPr>
    </w:p>
    <w:p>
      <w:pPr>
        <w:spacing w:before="0" w:after="0" w:line="33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928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文档版本</w:t>
            </w:r>
          </w:p>
        </w:tc>
        <w:tc>
          <w:tcPr>
            <w:tcW w:type="dxa" w:w="7030"/>
          </w:tcPr>
          <w:p>
            <w:pPr>
              <w:spacing w:after="60"/>
            </w:pPr>
            <w:r>
              <w:rPr>
                <w:rFonts w:ascii="宋体" w:hAnsi="宋体" w:eastAsia="宋体"/>
                <w:sz w:val="19"/>
              </w:rPr>
              <w:t>V1.0（与需求方案说明书 V1.4 配套）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编制日期</w:t>
            </w:r>
          </w:p>
        </w:tc>
        <w:tc>
          <w:tcPr>
            <w:tcW w:type="dxa" w:w="7030"/>
          </w:tcPr>
          <w:p>
            <w:pPr>
              <w:spacing w:after="60"/>
            </w:pPr>
            <w:r>
              <w:rPr>
                <w:rFonts w:ascii="宋体" w:hAnsi="宋体" w:eastAsia="宋体"/>
                <w:sz w:val="19"/>
              </w:rPr>
              <w:t>2026 年 10 月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使用场合</w:t>
            </w:r>
          </w:p>
        </w:tc>
        <w:tc>
          <w:tcPr>
            <w:tcW w:type="dxa" w:w="7030"/>
          </w:tcPr>
          <w:p>
            <w:pPr>
              <w:spacing w:after="60"/>
            </w:pPr>
            <w:r>
              <w:rPr>
                <w:rFonts w:ascii="宋体" w:hAnsi="宋体" w:eastAsia="宋体"/>
                <w:sz w:val="19"/>
              </w:rPr>
              <w:t>需求确认会、校内预读、回执签署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使用对象</w:t>
            </w:r>
          </w:p>
        </w:tc>
        <w:tc>
          <w:tcPr>
            <w:tcW w:type="dxa" w:w="7030"/>
          </w:tcPr>
          <w:p>
            <w:pPr>
              <w:spacing w:after="60"/>
            </w:pPr>
            <w:r>
              <w:rPr>
                <w:rFonts w:ascii="宋体" w:hAnsi="宋体" w:eastAsia="宋体"/>
                <w:sz w:val="19"/>
              </w:rPr>
              <w:t>校领导、产教融合归口管理部门、各二级学院、信息化管理部门</w:t>
            </w:r>
          </w:p>
        </w:tc>
      </w:tr>
    </w:tbl>
    <w:p>
      <w:pPr>
        <w:spacing w:before="0" w:after="0" w:line="336" w:lineRule="auto"/>
      </w:pPr>
    </w:p>
    <w:p>
      <w:pPr>
        <w:spacing w:before="0" w:after="0" w:line="336" w:lineRule="auto"/>
      </w:pPr>
    </w:p>
    <w:p>
      <w:pPr>
        <w:spacing w:before="0" w:after="0" w:line="33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</w:tblBorders>
        <w:tblCellMar>
          <w:top w:w="100" w:type="dxa"/>
          <w:left w:w="160" w:type="dxa"/>
          <w:bottom w:w="100" w:type="dxa"/>
          <w:right w:w="140" w:type="dxa"/>
        </w:tblCellMar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EAF0F8"/>
          </w:tcPr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这份文件只有一件事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把 V1.4 里需要学校拍板、需要学校提供的事项，从 27 页正文中抽出来，集中成一张可以逐项打勾的表。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原文编号一项未改：第 1 至 42 项、R1 至 R5，与 V1.4 第六章完全对应。会上说到「第 19 项」，回原文即可翻到。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未填写的，视为同意建议做法；有不同意见的，请写明具体怎么改。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</w:pPr>
      <w:r/>
      <w:r>
        <w:rPr>
          <w:rFonts w:ascii="微软雅黑" w:hAnsi="微软雅黑" w:eastAsia="微软雅黑"/>
          <w:b/>
          <w:color w:val="1F3864"/>
          <w:sz w:val="32"/>
        </w:rPr>
        <w:t>一、这份清单怎么用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开确认会时，真正需要学校表态的只有 42 项和 5 项资源。V1.4 是完整的需求方案，讲背景、讲功能、讲规则，共 27 页；逐页念完不现实，也容易在会上跑题。这份清单把确认部分单独抽出，会上不用来回翻正文，确认完可直接当回执使用。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1.1　三种确认方式，选一种即可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5102"/>
        <w:gridCol w:w="2381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5102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怎么操作</w:t>
            </w:r>
          </w:p>
        </w:tc>
        <w:tc>
          <w:tcPr>
            <w:tcW w:type="dxa" w:w="238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适合场景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① 会上逐项过</w:t>
            </w:r>
          </w:p>
        </w:tc>
        <w:tc>
          <w:tcPr>
            <w:tcW w:type="dxa" w:w="510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建议只逐项过甲类 3 项（第 2、5、6 项），其余 39 项会前预读、会上只过有疑问的</w:t>
            </w:r>
          </w:p>
        </w:tc>
        <w:tc>
          <w:tcPr>
            <w:tcW w:type="dxa" w:w="238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校领导、归口部门、二级学院负责人同时在场的确认会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② 线上勾选</w:t>
            </w:r>
          </w:p>
        </w:tc>
        <w:tc>
          <w:tcPr>
            <w:tcW w:type="dxa" w:w="510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在本文档网页版中逐项勾选，可实时查看确认进度，一键导出确认清单</w:t>
            </w:r>
          </w:p>
        </w:tc>
        <w:tc>
          <w:tcPr>
            <w:tcW w:type="dxa" w:w="238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学校内部多部门并行确认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③ 纸质回执</w:t>
            </w:r>
          </w:p>
        </w:tc>
        <w:tc>
          <w:tcPr>
            <w:tcW w:type="dxa" w:w="510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打印第七部分的《确认回执单》，逐项写「同意」或调整说明，盖章签字</w:t>
            </w:r>
          </w:p>
        </w:tc>
        <w:tc>
          <w:tcPr>
            <w:tcW w:type="dxa" w:w="238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需要留档、需要走校内审批流程</w:t>
            </w:r>
          </w:p>
        </w:tc>
      </w:tr>
    </w:tbl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1.2　两条规则</w:t>
      </w:r>
    </w:p>
    <w:p>
      <w:pPr>
        <w:spacing w:before="0" w:after="40" w:line="324" w:lineRule="auto"/>
        <w:ind w:left="425" w:hanging="227"/>
      </w:pPr>
      <w:r>
        <w:rPr>
          <w:rFonts w:ascii="宋体" w:hAnsi="宋体" w:eastAsia="宋体"/>
          <w:b/>
          <w:color w:val="1F3864"/>
          <w:sz w:val="21"/>
        </w:rPr>
        <w:t xml:space="preserve">· </w:t>
      </w:r>
      <w:r>
        <w:rPr>
          <w:rFonts w:ascii="宋体" w:hAnsi="宋体" w:eastAsia="宋体"/>
          <w:sz w:val="21"/>
        </w:rPr>
        <w:t>没有填写的，视为同意建议做法。这样学校只需关注真正有分歧的项，不必逐条写「同意」。</w:t>
      </w:r>
    </w:p>
    <w:p>
      <w:pPr>
        <w:spacing w:before="0" w:after="40" w:line="324" w:lineRule="auto"/>
        <w:ind w:left="425" w:hanging="227"/>
      </w:pPr>
      <w:r>
        <w:rPr>
          <w:rFonts w:ascii="宋体" w:hAnsi="宋体" w:eastAsia="宋体"/>
          <w:b/>
          <w:color w:val="1F3864"/>
          <w:sz w:val="21"/>
        </w:rPr>
        <w:t xml:space="preserve">· </w:t>
      </w:r>
      <w:r>
        <w:rPr>
          <w:rFonts w:ascii="宋体" w:hAnsi="宋体" w:eastAsia="宋体"/>
          <w:sz w:val="21"/>
        </w:rPr>
        <w:t>有不同意见的，请写清楚要怎么改，不要只写「不同意」——只有具体的改法才能落到设计里。例如「滞后阈值改为 −15%」，而不是「阈值不合适」。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1.3　建议的确认节奏（约 8 个工作日）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28"/>
        <w:gridCol w:w="5216"/>
        <w:gridCol w:w="2154"/>
      </w:tblGrid>
      <w:tr>
        <w:trPr>
          <w:tblHeader w:val="true"/>
        </w:trPr>
        <w:tc>
          <w:tcPr>
            <w:tcW w:type="dxa" w:w="192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时点</w:t>
            </w:r>
          </w:p>
        </w:tc>
        <w:tc>
          <w:tcPr>
            <w:tcW w:type="dxa" w:w="5216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215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产出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会前 3 个工作日</w:t>
            </w:r>
          </w:p>
        </w:tc>
        <w:tc>
          <w:tcPr>
            <w:tcW w:type="dxa" w:w="521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发出本清单与 V1.4，学校内部预读，标记有疑问的项</w:t>
            </w:r>
          </w:p>
        </w:tc>
        <w:tc>
          <w:tcPr>
            <w:tcW w:type="dxa" w:w="215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疑问项清单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确认会（90 分钟）</w:t>
            </w:r>
          </w:p>
        </w:tc>
        <w:tc>
          <w:tcPr>
            <w:tcW w:type="dxa" w:w="521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只过甲类 3 项 + 预读标记的疑问项，其余按建议做法默认通过</w:t>
            </w:r>
          </w:p>
        </w:tc>
        <w:tc>
          <w:tcPr>
            <w:tcW w:type="dxa" w:w="215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会议纪要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会后 5 个工作日</w:t>
            </w:r>
          </w:p>
        </w:tc>
        <w:tc>
          <w:tcPr>
            <w:tcW w:type="dxa" w:w="521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学校完成回执（线上勾选或纸质回执），盖章确认</w:t>
            </w:r>
          </w:p>
        </w:tc>
        <w:tc>
          <w:tcPr>
            <w:tcW w:type="dxa" w:w="215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确认回执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回执后 1 周内</w:t>
            </w:r>
          </w:p>
        </w:tc>
        <w:tc>
          <w:tcPr>
            <w:tcW w:type="dxa" w:w="521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项目组输出《详细设计输入清单》，把规则落成可照着开发的文档</w:t>
            </w:r>
          </w:p>
        </w:tc>
        <w:tc>
          <w:tcPr>
            <w:tcW w:type="dxa" w:w="215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设计输入清单</w:t>
            </w:r>
          </w:p>
        </w:tc>
      </w:tr>
    </w:tbl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1.4　确认结果会影响什么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42 项不是同样重要的。下表按「不定下来会卡住什么」分类，便于安排确认顺序。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2608"/>
        <w:gridCol w:w="4989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影响面</w:t>
            </w:r>
          </w:p>
        </w:tc>
        <w:tc>
          <w:tcPr>
            <w:tcW w:type="dxa" w:w="260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涉及事项</w:t>
            </w:r>
          </w:p>
        </w:tc>
        <w:tc>
          <w:tcPr>
            <w:tcW w:type="dxa" w:w="4989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不定下来会怎样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影响报价与工作量</w:t>
            </w:r>
          </w:p>
        </w:tc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第 32–42 项（11 项）、R1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范围界定与增强功能直接决定做多少；统一身份认证资料不齐，认证部分无法开发与联调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影响能否开工</w:t>
            </w:r>
          </w:p>
        </w:tc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第 15、19、32 项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状态定义、变更规则、系统边界不定，数据模型无法定稿，详细设计无法开始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影响上线时间</w:t>
            </w:r>
          </w:p>
        </w:tc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R1、R3、R5、第 4 项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认证资料、服务器与域名证书、校历、免填日期，任一缺失都会拖住上线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影响使用效果</w:t>
            </w:r>
          </w:p>
        </w:tc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第 1、2、3、5、24 项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更新频率、阈值、推送对象、报表必填项、是否考核，直接决定预警多少、老师填多少、数据真不真</w:t>
            </w:r>
          </w:p>
        </w:tc>
      </w:tr>
    </w:tbl>
    <w:p>
      <w:pPr>
        <w:spacing w:before="0" w:after="40" w:line="336" w:lineRule="auto"/>
      </w:pPr>
    </w:p>
    <w:p>
      <w:pPr>
        <w:pStyle w:val="Heading1"/>
      </w:pPr>
      <w:r/>
      <w:r>
        <w:rPr>
          <w:rFonts w:ascii="微软雅黑" w:hAnsi="微软雅黑" w:eastAsia="微软雅黑"/>
          <w:b/>
          <w:color w:val="1F3864"/>
          <w:sz w:val="32"/>
        </w:rPr>
        <w:t>二、42 项确认事项总览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按「要不要在会上专门讨论」分两类：甲类 3 项，不同选法结果差别很大，需要学校当场表态；乙类 39 项，均已给出建议做法，无异议按建议执行。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68"/>
        <w:gridCol w:w="1134"/>
        <w:gridCol w:w="907"/>
        <w:gridCol w:w="2721"/>
        <w:gridCol w:w="2268"/>
      </w:tblGrid>
      <w:tr>
        <w:trPr>
          <w:tblHeader w:val="true"/>
        </w:trPr>
        <w:tc>
          <w:tcPr>
            <w:tcW w:type="dxa" w:w="226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13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90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项数</w:t>
            </w:r>
          </w:p>
        </w:tc>
        <w:tc>
          <w:tcPr>
            <w:tcW w:type="dxa" w:w="272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需谁拍板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是否需当场定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一、核心业务规则</w:t>
            </w:r>
          </w:p>
        </w:tc>
        <w:tc>
          <w:tcPr>
            <w:tcW w:type="dxa" w:w="113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1–8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72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校领导、归口部门</w:t>
            </w:r>
          </w:p>
        </w:tc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第 2、5、6 项需当场定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二、范围边界事项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9–14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72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归口部门、信息化部门</w:t>
            </w:r>
          </w:p>
        </w:tc>
        <w:tc>
          <w:tcPr>
            <w:tcW w:type="dxa" w:w="226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三、业务流程规则</w:t>
            </w:r>
          </w:p>
        </w:tc>
        <w:tc>
          <w:tcPr>
            <w:tcW w:type="dxa" w:w="113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15–31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272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归口部门、各二级学院</w:t>
            </w:r>
          </w:p>
        </w:tc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四、范围界定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32–36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72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校领导（涉及预算与范围）</w:t>
            </w:r>
          </w:p>
        </w:tc>
        <w:tc>
          <w:tcPr>
            <w:tcW w:type="dxa" w:w="226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五、增强功能</w:t>
            </w:r>
          </w:p>
        </w:tc>
        <w:tc>
          <w:tcPr>
            <w:tcW w:type="dxa" w:w="113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37–42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72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归口部门、信息化部门</w:t>
            </w:r>
          </w:p>
        </w:tc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A"/>
            <w:shd w:val="clear" w:color="auto" w:fill="EAF0F8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合计</w:t>
            </w:r>
          </w:p>
        </w:tc>
        <w:tc>
          <w:tcPr>
            <w:tcW w:type="dxa" w:w="1134"/>
            <w:vAlign w:val="center"/>
            <w:shd w:val="clear" w:color="auto" w:fill="F2F5FA"/>
            <w:shd w:val="clear" w:color="auto" w:fill="EAF0F8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1–42</w:t>
            </w:r>
          </w:p>
        </w:tc>
        <w:tc>
          <w:tcPr>
            <w:tcW w:type="dxa" w:w="907"/>
            <w:vAlign w:val="center"/>
            <w:shd w:val="clear" w:color="auto" w:fill="F2F5FA"/>
            <w:shd w:val="clear" w:color="auto" w:fill="EAF0F8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type="dxa" w:w="2721"/>
            <w:vAlign w:val="center"/>
            <w:shd w:val="clear" w:color="auto" w:fill="F2F5FA"/>
            <w:shd w:val="clear" w:color="auto" w:fill="EAF0F8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  <w:shd w:val="clear" w:color="auto" w:fill="F2F5FA"/>
            <w:shd w:val="clear" w:color="auto" w:fill="EAF0F8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3 项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需学校提供的资源</w:t>
            </w:r>
          </w:p>
        </w:tc>
        <w:tc>
          <w:tcPr>
            <w:tcW w:type="dxa" w:w="113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R1–R5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72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信息化、人事、教务、归口部门</w:t>
            </w:r>
          </w:p>
        </w:tc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R1 需开发启动前 2 周提供</w:t>
            </w:r>
          </w:p>
        </w:tc>
      </w:tr>
    </w:tbl>
    <w:p>
      <w:pPr>
        <w:spacing w:before="0" w:after="40" w:line="33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0502A"/>
          <w:left w:val="single" w:sz="18" w:space="0" w:color="C0502A"/>
          <w:bottom w:val="single" w:sz="4" w:space="0" w:color="C0502A"/>
          <w:right w:val="single" w:sz="4" w:space="0" w:color="C0502A"/>
        </w:tblBorders>
        <w:tblCellMar>
          <w:top w:w="100" w:type="dxa"/>
          <w:left w:w="160" w:type="dxa"/>
          <w:bottom w:w="100" w:type="dxa"/>
          <w:right w:w="140" w:type="dxa"/>
        </w:tblCellMar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DF3EF"/>
          </w:tcPr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为什么甲类只有 3 项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这 3 项（第 2、5、6 项）分别决定：预警报得多不多、老师要花多少时间填、项目什么时候算结项。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每一种选法都会直接改变系统算出来的数字和使用体验，事后调整代价大，所以需要当场表态。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其余 39 项都给了建议做法，学校只需在回执上确认或写明调整意见，不必在会上逐条讨论。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</w:pPr>
      <w:r/>
      <w:r>
        <w:rPr>
          <w:rFonts w:ascii="微软雅黑" w:hAnsi="微软雅黑" w:eastAsia="微软雅黑"/>
          <w:b/>
          <w:color w:val="1F3864"/>
          <w:sz w:val="32"/>
        </w:rPr>
        <w:t>三、甲类：需当场拍板的 3 项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这 3 项建议在确认会上逐项过。每项都列出建议做法与不同选法的差别，供会上直接对照。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第 2 项　慢多少算滞后、多少算严重滞后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7597"/>
      </w:tblGrid>
      <w:tr>
        <w:trPr>
          <w:cantSplit w:val="true"/>
        </w:trPr>
        <w:tc>
          <w:tcPr>
            <w:tcW w:type="dxa" w:w="1701"/>
            <w:shd w:val="clear" w:color="auto" w:fill="EAF0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建议做法</w:t>
            </w:r>
          </w:p>
        </w:tc>
        <w:tc>
          <w:tcPr>
            <w:tcW w:type="dxa" w:w="7597"/>
          </w:tcPr>
          <w:p>
            <w:pPr>
              <w:spacing w:before="40" w:after="40" w:line="324" w:lineRule="auto"/>
            </w:pPr>
            <w:r>
              <w:rPr>
                <w:rFonts w:ascii="宋体" w:hAnsi="宋体" w:eastAsia="宋体"/>
                <w:sz w:val="18"/>
              </w:rPr>
              <w:t>比计划慢 10% 以上算滞后，慢 25% 以上算严重滞后。一期所有项目用同一标准，不按项目类型区分；试点一个月后再评估是否按类型分设。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AF0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不同选法的差别</w:t>
            </w:r>
          </w:p>
        </w:tc>
        <w:tc>
          <w:tcPr>
            <w:tcW w:type="dxa" w:w="7597"/>
          </w:tcPr>
          <w:p>
            <w:pPr>
              <w:spacing w:before="40" w:after="40" w:line="324" w:lineRule="auto"/>
            </w:pPr>
            <w:r>
              <w:rPr>
                <w:rFonts w:ascii="宋体" w:hAnsi="宋体" w:eastAsia="宋体"/>
                <w:sz w:val="18"/>
              </w:rPr>
              <w:t>门槛每收紧 5 个百分点，预警量大约翻一倍。定得太严，第一周冒出几十条，大家干脆不看；定得太松，问题发现不了。建议先按建议值跑，试点期每周统计一次预警条数与忽略率，再照着调——门槛管理员自己就能改，不用找开发。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AF0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需谁参加</w:t>
            </w:r>
          </w:p>
        </w:tc>
        <w:tc>
          <w:tcPr>
            <w:tcW w:type="dxa" w:w="7597"/>
          </w:tcPr>
          <w:p>
            <w:pPr>
              <w:spacing w:before="40" w:after="40" w:line="324" w:lineRule="auto"/>
            </w:pPr>
            <w:r>
              <w:rPr>
                <w:rFonts w:ascii="宋体" w:hAnsi="宋体" w:eastAsia="宋体"/>
                <w:sz w:val="18"/>
              </w:rPr>
              <w:t>归口部门 + 各二级学院负责人（阈值直接影响学院被预警的次数）</w:t>
            </w:r>
          </w:p>
        </w:tc>
      </w:tr>
    </w:tbl>
    <w:p>
      <w:pPr>
        <w:spacing w:before="0" w:after="40" w:line="336" w:lineRule="auto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第 5 项　三种报表各填什么、哪些必须填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7597"/>
      </w:tblGrid>
      <w:tr>
        <w:trPr>
          <w:cantSplit w:val="true"/>
        </w:trPr>
        <w:tc>
          <w:tcPr>
            <w:tcW w:type="dxa" w:w="1701"/>
            <w:shd w:val="clear" w:color="auto" w:fill="EAF0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建议做法</w:t>
            </w:r>
          </w:p>
        </w:tc>
        <w:tc>
          <w:tcPr>
            <w:tcW w:type="dxa" w:w="7597"/>
          </w:tcPr>
          <w:p>
            <w:pPr>
              <w:spacing w:before="40" w:after="40" w:line="324" w:lineRule="auto"/>
            </w:pPr>
            <w:r>
              <w:rPr>
                <w:rFonts w:ascii="宋体" w:hAnsi="宋体" w:eastAsia="宋体"/>
                <w:sz w:val="18"/>
              </w:rPr>
              <w:t>周报、月报必填；日报按项目类型开关，默认关闭、试点项目开启；内容以「做了什么、接下来做什么、有什么问题」为主；附件默认不强制，实训基地类项目建议必传。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AF0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不同选法的差别</w:t>
            </w:r>
          </w:p>
        </w:tc>
        <w:tc>
          <w:tcPr>
            <w:tcW w:type="dxa" w:w="7597"/>
          </w:tcPr>
          <w:p>
            <w:pPr>
              <w:spacing w:before="40" w:after="40" w:line="324" w:lineRule="auto"/>
            </w:pPr>
            <w:r>
              <w:rPr>
                <w:rFonts w:ascii="宋体" w:hAnsi="宋体" w:eastAsia="宋体"/>
                <w:sz w:val="18"/>
              </w:rPr>
              <w:t>要填的项越多，数据质量反而越差——老师会用「已完成」「正常推进」这类套话应付。这一项决定系统能不能长期用下去：报表太轻，材料不全、验收时补不齐；太重，老师不愿意填。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AF0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需谁参加</w:t>
            </w:r>
          </w:p>
        </w:tc>
        <w:tc>
          <w:tcPr>
            <w:tcW w:type="dxa" w:w="7597"/>
          </w:tcPr>
          <w:p>
            <w:pPr>
              <w:spacing w:before="40" w:after="40" w:line="324" w:lineRule="auto"/>
            </w:pPr>
            <w:r>
              <w:rPr>
                <w:rFonts w:ascii="宋体" w:hAnsi="宋体" w:eastAsia="宋体"/>
                <w:sz w:val="18"/>
              </w:rPr>
              <w:t>归口部门 + 二级学院负责人 + 试点项目负责人</w:t>
            </w:r>
          </w:p>
        </w:tc>
      </w:tr>
    </w:tbl>
    <w:p>
      <w:pPr>
        <w:spacing w:before="0" w:after="40" w:line="336" w:lineRule="auto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第 6 项　什么条件下可以结项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7597"/>
      </w:tblGrid>
      <w:tr>
        <w:trPr>
          <w:cantSplit w:val="true"/>
        </w:trPr>
        <w:tc>
          <w:tcPr>
            <w:tcW w:type="dxa" w:w="1701"/>
            <w:shd w:val="clear" w:color="auto" w:fill="EAF0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建议做法</w:t>
            </w:r>
          </w:p>
        </w:tc>
        <w:tc>
          <w:tcPr>
            <w:tcW w:type="dxa" w:w="7597"/>
          </w:tcPr>
          <w:p>
            <w:pPr>
              <w:spacing w:before="40" w:after="40" w:line="324" w:lineRule="auto"/>
            </w:pPr>
            <w:r>
              <w:rPr>
                <w:rFonts w:ascii="宋体" w:hAnsi="宋体" w:eastAsia="宋体"/>
                <w:sz w:val="18"/>
              </w:rPr>
              <w:t>进度到 100%，且材料齐全（至少 1 份月报、该传的节点材料齐全、没有未关闭的预警），由学院负责人确认即可结项；不再走审批；大项目负责人可在 7 天内提出异议并退回。结项后子项目只读，不再算报表、不再报预警，历史记录保留可查可导。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AF0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不同选法的差别</w:t>
            </w:r>
          </w:p>
        </w:tc>
        <w:tc>
          <w:tcPr>
            <w:tcW w:type="dxa" w:w="7597"/>
          </w:tcPr>
          <w:p>
            <w:pPr>
              <w:spacing w:before="40" w:after="40" w:line="324" w:lineRule="auto"/>
            </w:pPr>
            <w:r>
              <w:rPr>
                <w:rFonts w:ascii="宋体" w:hAnsi="宋体" w:eastAsia="宋体"/>
                <w:sz w:val="18"/>
              </w:rPr>
              <w:t>结项门槛决定项目状态、统计范围和验收标准。门槛太松，结项后仍有大量整改无处记录；门槛太严，学院会拖到验收前才结项，过程数据反而失真。原文「不设审批」与「可退回」并存，须在会上二选一。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AF0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需谁参加</w:t>
            </w:r>
          </w:p>
        </w:tc>
        <w:tc>
          <w:tcPr>
            <w:tcW w:type="dxa" w:w="7597"/>
          </w:tcPr>
          <w:p>
            <w:pPr>
              <w:spacing w:before="40" w:after="40" w:line="324" w:lineRule="auto"/>
            </w:pPr>
            <w:r>
              <w:rPr>
                <w:rFonts w:ascii="宋体" w:hAnsi="宋体" w:eastAsia="宋体"/>
                <w:sz w:val="18"/>
              </w:rPr>
              <w:t>校领导 + 归口部门（涉及结项权限归属）</w:t>
            </w:r>
          </w:p>
        </w:tc>
      </w:tr>
    </w:tbl>
    <w:p>
      <w:pPr>
        <w:spacing w:before="0" w:after="40" w:line="336" w:lineRule="auto"/>
      </w:pPr>
    </w:p>
    <w:p>
      <w:pPr>
        <w:pStyle w:val="Heading1"/>
      </w:pPr>
      <w:r/>
      <w:r>
        <w:rPr>
          <w:rFonts w:ascii="微软雅黑" w:hAnsi="微软雅黑" w:eastAsia="微软雅黑"/>
          <w:b/>
          <w:color w:val="1F3864"/>
          <w:sz w:val="32"/>
        </w:rPr>
        <w:t>四、乙类：39 项按建议执行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以下 39 项均已给出建议做法。学校只需在「确认」栏打勾，或写明调整意见；未填写的视为同意。编号与 V1.4 第六章一致，便于回查原文。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4.1　核心业务规则（第 1–8 项）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color w:val="595959"/>
          <w:sz w:val="19"/>
        </w:rPr>
        <w:t>这 8 项决定系统的算法口径。上线后再改，前后的数就对不上，建议开发前全部定下来。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4"/>
        <w:gridCol w:w="2041"/>
        <w:gridCol w:w="3685"/>
        <w:gridCol w:w="1984"/>
        <w:gridCol w:w="964"/>
      </w:tblGrid>
      <w:tr>
        <w:trPr>
          <w:tblHeader w:val="true"/>
        </w:trPr>
        <w:tc>
          <w:tcPr>
            <w:tcW w:type="dxa" w:w="62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04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需确认事项</w:t>
            </w:r>
          </w:p>
        </w:tc>
        <w:tc>
          <w:tcPr>
            <w:tcW w:type="dxa" w:w="3685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建议做法（无异议按此执行）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 / 不同选法差在哪</w:t>
            </w:r>
          </w:p>
        </w:tc>
        <w:tc>
          <w:tcPr>
            <w:tcW w:type="dxa" w:w="96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确认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多久更新一次进度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每两周至少更新 1 次；连续 21 个自然日未更新算「进度停滞」并提醒；14 至 21 天之间不提醒。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直接决定预警条数与教师填报负担。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慢多少算滞后、多少算严重滞后【需当场定】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比计划慢 10% 以上算滞后，慢 25% 以上算严重滞后；一期所有项目用同一标准、不按类型分；试点一个月后再评估是否分类型。</w:t>
            </w:r>
          </w:p>
        </w:tc>
        <w:tc>
          <w:tcPr>
            <w:tcW w:type="dxa" w:w="198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门槛每收紧 5 个百分点，预警量约翻一倍。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预警先推给谁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红、橙预警先只推子项目负责人与学院负责人；超时未认领再加推上级；校领导在「我的督办」看汇总，不收单条。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关系数据是否真实、推行是否顺畅。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寒暑假、节假日要不要免填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按校历把免填日期配进系统；免填期间报表不用填，「停滞、零进度、滞后」三项计时暂停、开学顺延；逾期 3 日内仍可补填。</w:t>
            </w:r>
          </w:p>
        </w:tc>
        <w:tc>
          <w:tcPr>
            <w:tcW w:type="dxa" w:w="198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不配置，寒假一过会集中爆出一批预警。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三种报表各填什么、哪些必须填【需当场定】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周报、月报必填；日报按项目类型开关，默认关闭、试点项目开启；附件默认不强制，实训基地类建议必传。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决定填报负担与材料完整性，直接影响能否长期用。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什么条件下可以结项【需当场定】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进度 100% 且材料齐全（至少 1 份月报、节点材料齐全、无未关闭预警），学院负责人确认即可，不再走审批；大项目负责人 7 天内可提异议退回。</w:t>
            </w:r>
          </w:p>
        </w:tc>
        <w:tc>
          <w:tcPr>
            <w:tcW w:type="dxa" w:w="198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影响项目状态、统计范围与验收标准。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导出的表格要不要固定表样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一期提供 Excel 明细与 PDF 进度报表两种，不做固定表样；如教育厅或学校已有规定表样，请提供样表，按表样数量另评工作量。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决定导出功能要做多少。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以前的旧项目要不要录进来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在建项目全部录入；已结项默认不录；学校需要时，提供清单后分批导入。</w:t>
            </w:r>
          </w:p>
        </w:tc>
        <w:tc>
          <w:tcPr>
            <w:tcW w:type="dxa" w:w="198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影响上线初期台账是否完整。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</w:tbl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4.2　范围边界事项（第 9–14 项）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color w:val="595959"/>
          <w:sz w:val="19"/>
        </w:rPr>
        <w:t>这 6 项不改业务规则本身，但决定系统做成什么样、工作量有多大。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4"/>
        <w:gridCol w:w="2041"/>
        <w:gridCol w:w="3685"/>
        <w:gridCol w:w="1984"/>
        <w:gridCol w:w="964"/>
      </w:tblGrid>
      <w:tr>
        <w:trPr>
          <w:tblHeader w:val="true"/>
        </w:trPr>
        <w:tc>
          <w:tcPr>
            <w:tcW w:type="dxa" w:w="62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04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需确认事项</w:t>
            </w:r>
          </w:p>
        </w:tc>
        <w:tc>
          <w:tcPr>
            <w:tcW w:type="dxa" w:w="3685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建议做法（无异议按此执行）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 / 不同选法差在哪</w:t>
            </w:r>
          </w:p>
        </w:tc>
        <w:tc>
          <w:tcPr>
            <w:tcW w:type="dxa" w:w="96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确认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预警和催办怎么通知到人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站内消息 + 邮件（复用学校现有邮件系统），以邮件发送成功作为「已送达」依据；短信只发红色预警、可开关；企业微信按学校现有平台情况二期评估。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渠道不定，「推给责任人」这个动作无法成立。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报表交错了、交晚了怎么改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3 天内填报人自己改；超过 3 天由学院负责人开修改权限；作废只有系统管理员能做、须写理由，作废后重新计算及时率。</w:t>
            </w:r>
          </w:p>
        </w:tc>
        <w:tc>
          <w:tcPr>
            <w:tcW w:type="dxa" w:w="198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涉及权限合规与统计口径。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用什么电脑、什么浏览器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一期只支持电脑，手机打不开（手机浏览器、微信内均不可用）；Chrome 或 Edge 最近两个大版本，不支持 IE；分辨率不低于 1440×900。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不写明，验收时容易按「手机也能用」提要求。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上级能不能替下级填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总负责人、大项目负责人、学院负责人可替下属填进度与报表；系统记录代填人；及时率算在被代填人名下；填完通知本人。</w:t>
            </w:r>
          </w:p>
        </w:tc>
        <w:tc>
          <w:tcPr>
            <w:tcW w:type="dxa" w:w="198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避免代填变成绕过权限的通道。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能不能单独开放或屏蔽某些数据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只有系统管理员能配；由归口部门或大项目负责人提出并说明范围理由；默认一个学期有效、到期自动失效；每次配置留记录。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防止变成没有记录的越权口子。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操作记录要保存多久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默认保存 2 年，可按学校制度调整（半年通常覆盖不了一个项目的验收周期）。</w:t>
            </w:r>
          </w:p>
        </w:tc>
        <w:tc>
          <w:tcPr>
            <w:tcW w:type="dxa" w:w="198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与验收材料需保存多久有关。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</w:tbl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4.3　业务流程规则之一：项目与责任（第 15–18 项）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4"/>
        <w:gridCol w:w="2041"/>
        <w:gridCol w:w="3685"/>
        <w:gridCol w:w="1984"/>
        <w:gridCol w:w="964"/>
      </w:tblGrid>
      <w:tr>
        <w:trPr>
          <w:tblHeader w:val="true"/>
        </w:trPr>
        <w:tc>
          <w:tcPr>
            <w:tcW w:type="dxa" w:w="62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04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需确认事项</w:t>
            </w:r>
          </w:p>
        </w:tc>
        <w:tc>
          <w:tcPr>
            <w:tcW w:type="dxa" w:w="3685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建议做法（无异议按此执行）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 / 不同选法差在哪</w:t>
            </w:r>
          </w:p>
        </w:tc>
        <w:tc>
          <w:tcPr>
            <w:tcW w:type="dxa" w:w="96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确认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项目信息改了怎么办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计划时间、负责人、权重、参与学院均可改，但须留痕（谁改、改前改后、原因）；计划调整经大项目负责人同意；改后按新计划重算偏差，历史进度记录不追溯修改。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项目调整是常事。不说清楚，一改计划前后数字就对不上。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一个子项目能不能几个学院一起做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一期一个子项目只归一个学院；多学院协作拆成多个子项目，在大项目层面体现配合关系。</w:t>
            </w:r>
          </w:p>
        </w:tc>
        <w:tc>
          <w:tcPr>
            <w:tcW w:type="dxa" w:w="198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决定能否表达「共同承担」，也决定学院之间能否横向比较。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项目做到一半停了怎么处理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新增「已中止」状态：不计及时率、不产生预警、不计入总进度；中止需大项目负责人同意并写明原因；重启后计时重新开始。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没有中止状态，停掉的项目会一直报预警，报到最后没人看。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负责人空缺、或人不在时谁来填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没有负责人的 3 天内必须指定；原负责人休假或离职，待办超期 7 天可由学院负责人代填；连续代填超 1 个月，由归口部门确认是否直接换人。</w:t>
            </w:r>
          </w:p>
        </w:tc>
        <w:tc>
          <w:tcPr>
            <w:tcW w:type="dxa" w:w="198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决定「没人管」的事能否真正落到人头上。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</w:tbl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4.4　业务流程规则之二：进度与汇总（第 19–21 项）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4"/>
        <w:gridCol w:w="2041"/>
        <w:gridCol w:w="3685"/>
        <w:gridCol w:w="1984"/>
        <w:gridCol w:w="964"/>
      </w:tblGrid>
      <w:tr>
        <w:trPr>
          <w:tblHeader w:val="true"/>
        </w:trPr>
        <w:tc>
          <w:tcPr>
            <w:tcW w:type="dxa" w:w="62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04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需确认事项</w:t>
            </w:r>
          </w:p>
        </w:tc>
        <w:tc>
          <w:tcPr>
            <w:tcW w:type="dxa" w:w="3685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建议做法（无异议按此执行）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 / 不同选法差在哪</w:t>
            </w:r>
          </w:p>
        </w:tc>
        <w:tc>
          <w:tcPr>
            <w:tcW w:type="dxa" w:w="96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确认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19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子项目有哪几种状态、「还没开始」怎么算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分四种：还没开始、进行中、已中止、已结项。「还没开始」指未到计划开始日或一次进度都没填过；此类不计及时率、不产生预警、不计入总进度。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及时率、预警、报表该不该填、总进度怎么加，全取决于这个定义。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学院进度、全校进度是怎么算出来的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学院进度 = 本学院在该大项目内的子项目按权重折算后相加；全校进度 = 各大项目进度直接平均（一期不按经费金额折算），并在页面写明口径。</w:t>
            </w:r>
          </w:p>
        </w:tc>
        <w:tc>
          <w:tcPr>
            <w:tcW w:type="dxa" w:w="198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校领导看到的「全校进度」准不准，就看这一条。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21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权重谁来定、能不能改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由大项目负责人建子项目时设定；中途修改须留痕并说明原因；未设定按子项目数量平均；已结项按 100% 计入；权重合计为 0 时自动改平均。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权重直接决定大项目进度显示多少。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</w:tbl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4.5　业务流程规则之三：预警与督办（第 22–25 项）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4"/>
        <w:gridCol w:w="2041"/>
        <w:gridCol w:w="3685"/>
        <w:gridCol w:w="1984"/>
        <w:gridCol w:w="964"/>
      </w:tblGrid>
      <w:tr>
        <w:trPr>
          <w:tblHeader w:val="true"/>
        </w:trPr>
        <w:tc>
          <w:tcPr>
            <w:tcW w:type="dxa" w:w="62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04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需确认事项</w:t>
            </w:r>
          </w:p>
        </w:tc>
        <w:tc>
          <w:tcPr>
            <w:tcW w:type="dxa" w:w="3685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建议做法（无异议按此执行）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 / 不同选法差在哪</w:t>
            </w:r>
          </w:p>
        </w:tc>
        <w:tc>
          <w:tcPr>
            <w:tcW w:type="dxa" w:w="96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确认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22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预警几天内要处理完、从哪天开始算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从预警生成时起算；「按时」以关闭时间为准，不以认领时间为准；认领不单独限时；超时升级看是否已关闭。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原文一处写「3 天内处理完」、一处写「3 天没认领就升级」，须统一。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23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预警能不能转给别人、上级能不能代关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可转同级或上级，转交后期限不重新计算并留痕；上级可代关但须写理由，仍记原责任人名下。</w:t>
            </w:r>
          </w:p>
        </w:tc>
        <w:tc>
          <w:tcPr>
            <w:tcW w:type="dxa" w:w="198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涉及责任算谁的、数据怎么统计。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24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预警数据要不要拿来考核学院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一期只用于督促推进，不直接与学院考核挂钩；如确需考核，由学校另定规则，系统只负责提供数据。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一旦直接挂钩考核，学院倾向把数字填好看，与建设目标相反。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25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「催办」到底怎么催、记录在哪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学院负责人、大项目负责人、总负责人可对下级子项目发催办；站内消息 + 邮件送达；时间、对象、事由记入项目台账、可统计；不改变预警计时。</w:t>
            </w:r>
          </w:p>
        </w:tc>
        <w:tc>
          <w:tcPr>
            <w:tcW w:type="dxa" w:w="198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催办是管理者用得最多的动作，但原文功能清单里没有这一项。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</w:tbl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4.6　业务流程规则之四：报表与结项（第 26–28 项）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4"/>
        <w:gridCol w:w="2041"/>
        <w:gridCol w:w="3685"/>
        <w:gridCol w:w="1984"/>
        <w:gridCol w:w="964"/>
      </w:tblGrid>
      <w:tr>
        <w:trPr>
          <w:tblHeader w:val="true"/>
        </w:trPr>
        <w:tc>
          <w:tcPr>
            <w:tcW w:type="dxa" w:w="62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04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需确认事项</w:t>
            </w:r>
          </w:p>
        </w:tc>
        <w:tc>
          <w:tcPr>
            <w:tcW w:type="dxa" w:w="3685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建议做法（无异议按此执行）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 / 不同选法差在哪</w:t>
            </w:r>
          </w:p>
        </w:tc>
        <w:tc>
          <w:tcPr>
            <w:tcW w:type="dxa" w:w="96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确认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26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附件要不要传、结项时怎么查材料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附件默认不强制；按项目类型定一份「节点材料清单」；结项改查清单是否齐全；材料可在报表提交后 30 天内补传，不影响及时率。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原文「附件不强制」与「附件 2 个以上」互相抵消，结果只能是临结项集中补材料。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27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结项由谁说了算、别人有意见怎么办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学院负责人确认结项，不走审批；大项目负责人 7 天内可提异议退回并写理由，逾期未提视为通过；全程留痕。</w:t>
            </w:r>
          </w:p>
        </w:tc>
        <w:tc>
          <w:tcPr>
            <w:tcW w:type="dxa" w:w="198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原文「不设审批」与「可退回」并存，须二选一。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28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报表作废或更正后，统计数字怎么变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作废：从及时率中整个移除，并撤销它引出且未处理的预警；更正：及时率不变，仍按首次是否按期提交计算；两者均留痕。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不定则同一张报表在不同页面可能显示不同结论。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</w:tbl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4.7　业务流程规则之五：数据与协同（第 29–31 项）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4"/>
        <w:gridCol w:w="2041"/>
        <w:gridCol w:w="3685"/>
        <w:gridCol w:w="1984"/>
        <w:gridCol w:w="964"/>
      </w:tblGrid>
      <w:tr>
        <w:trPr>
          <w:tblHeader w:val="true"/>
        </w:trPr>
        <w:tc>
          <w:tcPr>
            <w:tcW w:type="dxa" w:w="62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04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需确认事项</w:t>
            </w:r>
          </w:p>
        </w:tc>
        <w:tc>
          <w:tcPr>
            <w:tcW w:type="dxa" w:w="3685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建议做法（无异议按此执行）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 / 不同选法差在哪</w:t>
            </w:r>
          </w:p>
        </w:tc>
        <w:tc>
          <w:tcPr>
            <w:tcW w:type="dxa" w:w="96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确认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29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质量督导、合作企业在系统里算什么身份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质量督导按「查看者」：可看全校、可导出、不可修改任何内容；合作企业一期不开账号，对外材料通过导出提供；二期再评估。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原文角色表有「质量督导」，权限表里却没有；项目档案有「合作企业」，系统里没有这个角色。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30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学院能不能看别的学院的数据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默认只看本学院；牵头学院确需跨学院查看的，由大项目负责人提出、管理员开通，一个学期有效、到期自动失效、全程留痕。</w:t>
            </w:r>
          </w:p>
        </w:tc>
        <w:tc>
          <w:tcPr>
            <w:tcW w:type="dxa" w:w="198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完全不给例外，牵头学院没法统筹；给了例外，就必须管得住。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31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材料怎么收上来、填报快不快怎么算数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PC 端由填报人或学院负责人上传，不做手机上传；验收口径改为「从登录到提交进度不超过 3 次点击、页面不整页刷新」，不再承诺 15 秒，试点期实测平均用时。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只做 PC 后，原「15 秒填完」「现场拍照上传」两个前提都不成立。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</w:tbl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4.8　范围界定（第 32–36 项）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color w:val="595959"/>
          <w:sz w:val="19"/>
        </w:rPr>
        <w:t>这一组决定工作量和报价，是本次最容易产生分歧的部分，建议由校领导拍板。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4"/>
        <w:gridCol w:w="2041"/>
        <w:gridCol w:w="3685"/>
        <w:gridCol w:w="1984"/>
        <w:gridCol w:w="964"/>
      </w:tblGrid>
      <w:tr>
        <w:trPr>
          <w:tblHeader w:val="true"/>
        </w:trPr>
        <w:tc>
          <w:tcPr>
            <w:tcW w:type="dxa" w:w="62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04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需确认事项</w:t>
            </w:r>
          </w:p>
        </w:tc>
        <w:tc>
          <w:tcPr>
            <w:tcW w:type="dxa" w:w="3685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建议做法（无异议按此执行）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 / 不同选法差在哪</w:t>
            </w:r>
          </w:p>
        </w:tc>
        <w:tc>
          <w:tcPr>
            <w:tcW w:type="dxa" w:w="96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确认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32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系统管到哪一步：只管执行期，还是管到验收和后评价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一期管「立项建档到结项归档」；立项前的申报评审在 OA 走，系统只接已批项目；结项后的验收、整改、后评价列入二期评估。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本次最大的范围分歧。只管执行期，系统轻、上线快；管全生命周期，工作量与报价相差一倍以上。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33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要不要做验收记录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一期结项即止，不做验收；如学校需要，在结项后增加「验收记录」：验收时间、验收单位、结论、整改事项、整改完成时间。</w:t>
            </w:r>
          </w:p>
        </w:tc>
        <w:tc>
          <w:tcPr>
            <w:tcW w:type="dxa" w:w="198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结项不等于验收。产教融合项目通常要过学校验收与上级验收，还要整改复验。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34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要不要做经费管理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一期不做明细账，只在项目档案增加「预算总额」「已执行金额」两个字段，能算执行率即可；报销与采购仍走学校财务系统。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验收时经费执行率是硬指标，系统完全不管钱，等于只做一半。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35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要不要做项目文档库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一期只有报表附件；如学校需要，增加按项目归档的附件区（项目 → 材料分类 → 文件），支持检索与打包导出，不做版本管理。</w:t>
            </w:r>
          </w:p>
        </w:tc>
        <w:tc>
          <w:tcPr>
            <w:tcW w:type="dxa" w:w="198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协议、照片、验收报告等不属于任何报表的材料，目前无处存放。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36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要不要做工时统计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一期不做工时与人天统计。产教融合项目不按工时结算，教师填工时会强烈抵触。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通用项目管理软件几乎都有工时，不写明，验收时容易变成争议。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</w:tbl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4.9　增强功能（第 37–42 项）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color w:val="595959"/>
          <w:sz w:val="19"/>
        </w:rPr>
        <w:t>这一组是「做不做、做到什么程度」的选择题，可按预算取舍，不影响主体功能上线。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4"/>
        <w:gridCol w:w="2041"/>
        <w:gridCol w:w="3685"/>
        <w:gridCol w:w="1984"/>
        <w:gridCol w:w="964"/>
      </w:tblGrid>
      <w:tr>
        <w:trPr>
          <w:tblHeader w:val="true"/>
        </w:trPr>
        <w:tc>
          <w:tcPr>
            <w:tcW w:type="dxa" w:w="62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04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需确认事项</w:t>
            </w:r>
          </w:p>
        </w:tc>
        <w:tc>
          <w:tcPr>
            <w:tcW w:type="dxa" w:w="3685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建议做法（无异议按此执行）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 / 不同选法差在哪</w:t>
            </w:r>
          </w:p>
        </w:tc>
        <w:tc>
          <w:tcPr>
            <w:tcW w:type="dxa" w:w="96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确认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37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要不要做甘特图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建议做，但只做只读版：用已有的计划起止时间画横条，不要求老师额外维护；不做依赖箭头与自动排期。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表格加曲线看不出「哪几件事并行」，而这正是汇报会上最常被问的。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38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要不要记「原始计划」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建议记。立项时把计划起止时间锁定为「原始计划」，以后变更只改「当前计划」，可算出「比原计划晚了多少天」。</w:t>
            </w:r>
          </w:p>
        </w:tc>
        <w:tc>
          <w:tcPr>
            <w:tcW w:type="dxa" w:w="198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计划一改，时间进度立刻按新计划重算，历史对比全部失效。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39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要不要做任务之间的前后依赖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一期只加一个「前置子项目」字段（可填 1 至多个），能提示「前置还没完成」；不做自动排期与关键路径。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没有依赖关系，答不出「这件事晚了会影响哪个」。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40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要不要做项目模板和复制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建议做。5 类项目的结构差不多，新建时可从已有项目复制结构（学院、子项目、权重），再改名字。</w:t>
            </w:r>
          </w:p>
        </w:tc>
        <w:tc>
          <w:tcPr>
            <w:tcW w:type="dxa" w:w="198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现在每建一个大项目都要从头填一遍，重复劳动。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41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看板到底放哪几张图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一期固定 4 张：全校进度分布、学院对比、预警趋势、报表及时率趋势；不做自定义看板。</w:t>
            </w:r>
          </w:p>
        </w:tc>
        <w:tc>
          <w:tcPr>
            <w:tcW w:type="dxa" w:w="198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原文多处提到「看板」「对比」「曲线」，但从未定义看板长什么样。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42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要不要做后评价和成效采集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一期不做。如需要，在结项时加一张成效登记表，按项目类型配 3 至 5 个指标（如订单班人数、企业投入额、双师认定人数），只做录入与汇总。</w:t>
            </w:r>
          </w:p>
        </w:tc>
        <w:tc>
          <w:tcPr>
            <w:tcW w:type="dxa" w:w="198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现有指标评价的是「系统用得好不好」，不是「项目建得好不好」。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□同意</w:t>
              <w:br/>
              <w:t>□调整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/>
      <w:r>
        <w:rPr>
          <w:rFonts w:ascii="微软雅黑" w:hAnsi="微软雅黑" w:eastAsia="微软雅黑"/>
          <w:b/>
          <w:color w:val="1F3864"/>
          <w:sz w:val="32"/>
        </w:rPr>
        <w:t>五、需学校提供的 5 项资源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这 5 项不是「确认」，是「提供」。缺任何一项，对应环节就会停在那里等。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680"/>
        <w:gridCol w:w="3061"/>
        <w:gridCol w:w="1701"/>
        <w:gridCol w:w="2268"/>
        <w:gridCol w:w="1587"/>
      </w:tblGrid>
      <w:tr>
        <w:trPr>
          <w:tblHeader w:val="true"/>
        </w:trPr>
        <w:tc>
          <w:tcPr>
            <w:tcW w:type="dxa" w:w="680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06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需提供内容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提供方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58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建议提供时间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R1</w:t>
            </w:r>
          </w:p>
        </w:tc>
        <w:tc>
          <w:tcPr>
            <w:tcW w:type="dxa" w:w="306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统一身份认证对接资料：认证方式说明、接口文档、测试账号</w:t>
            </w:r>
          </w:p>
        </w:tc>
        <w:tc>
          <w:tcPr>
            <w:tcW w:type="dxa" w:w="170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信息化管理部门</w:t>
            </w:r>
          </w:p>
        </w:tc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实现统一身份认证登录，教师无需另记账号密码</w:t>
            </w:r>
          </w:p>
        </w:tc>
        <w:tc>
          <w:tcPr>
            <w:tcW w:type="dxa" w:w="158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开发启动前 2 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R2</w:t>
            </w:r>
          </w:p>
        </w:tc>
        <w:tc>
          <w:tcPr>
            <w:tcW w:type="dxa" w:w="306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组织与人员名单：二级学院列表、教职工工号与所属学院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人事部门、信息化管理部门</w:t>
            </w:r>
          </w:p>
        </w:tc>
        <w:tc>
          <w:tcPr>
            <w:tcW w:type="dxa" w:w="226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初始化组织架构与账号，确保人员与学院对应准确</w:t>
            </w:r>
          </w:p>
        </w:tc>
        <w:tc>
          <w:tcPr>
            <w:tcW w:type="dxa" w:w="158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开发中期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R3</w:t>
            </w:r>
          </w:p>
        </w:tc>
        <w:tc>
          <w:tcPr>
            <w:tcW w:type="dxa" w:w="306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服务器与网络环境：服务器、域名、HTTPS 证书</w:t>
            </w:r>
          </w:p>
        </w:tc>
        <w:tc>
          <w:tcPr>
            <w:tcW w:type="dxa" w:w="170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信息化管理部门</w:t>
            </w:r>
          </w:p>
        </w:tc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系统部署；统一身份认证回调要求 HTTPS 环境</w:t>
            </w:r>
          </w:p>
        </w:tc>
        <w:tc>
          <w:tcPr>
            <w:tcW w:type="dxa" w:w="158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部署前 1 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R4</w:t>
            </w:r>
          </w:p>
        </w:tc>
        <w:tc>
          <w:tcPr>
            <w:tcW w:type="dxa" w:w="306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项目基础数据：在建大项目清单、参与学院、子项目划分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产教融合归口部门</w:t>
            </w:r>
          </w:p>
        </w:tc>
        <w:tc>
          <w:tcPr>
            <w:tcW w:type="dxa" w:w="226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系统初始化与试点项目选取</w:t>
            </w:r>
          </w:p>
        </w:tc>
        <w:tc>
          <w:tcPr>
            <w:tcW w:type="dxa" w:w="158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试点前 2 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R5</w:t>
            </w:r>
          </w:p>
        </w:tc>
        <w:tc>
          <w:tcPr>
            <w:tcW w:type="dxa" w:w="306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校历与作息安排：学期起止、寒暑假、法定节假日安排</w:t>
            </w:r>
          </w:p>
        </w:tc>
        <w:tc>
          <w:tcPr>
            <w:tcW w:type="dxa" w:w="170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教务部门</w:t>
            </w:r>
          </w:p>
        </w:tc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配置免填日期，保证及时率统计与预警判定准确</w:t>
            </w:r>
          </w:p>
        </w:tc>
        <w:tc>
          <w:tcPr>
            <w:tcW w:type="dxa" w:w="158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上线前 2 周</w:t>
            </w:r>
          </w:p>
        </w:tc>
      </w:tr>
    </w:tbl>
    <w:p>
      <w:pPr>
        <w:spacing w:before="0" w:after="40" w:line="33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</w:tblBorders>
        <w:tblCellMar>
          <w:top w:w="100" w:type="dxa"/>
          <w:left w:w="160" w:type="dxa"/>
          <w:bottom w:w="100" w:type="dxa"/>
          <w:right w:w="140" w:type="dxa"/>
        </w:tblCellMar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EAF0F8"/>
          </w:tcPr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R1 是前置条件，建议不要让它卡住整个上线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统一身份认证的认证方式与接口文档不定下来，这块就无法开发和联调，而资料什么时候给、什么时候能联调，不完全由项目组决定。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建议：一期先上账号密码登录，保证系统按期用起来；等资料齐了，再把统一认证作为增量功能接进去。这样就算认证对接往后拖，系统主体照样能跑。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5.1　确认优先级建议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42 项不必同时定。按「不定会卡住什么」排一个顺序，确认会可以分两次开。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494"/>
        <w:gridCol w:w="4422"/>
      </w:tblGrid>
      <w:tr>
        <w:trPr>
          <w:tblHeader w:val="true"/>
        </w:trPr>
        <w:tc>
          <w:tcPr>
            <w:tcW w:type="dxa" w:w="238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49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422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为什么排在这里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第一优先（开工前必须定）</w:t>
            </w:r>
          </w:p>
        </w:tc>
        <w:tc>
          <w:tcPr>
            <w:tcW w:type="dxa" w:w="249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第 15、19、32 项</w:t>
            </w:r>
          </w:p>
        </w:tc>
        <w:tc>
          <w:tcPr>
            <w:tcW w:type="dxa" w:w="442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状态定义、变更规则、系统边界是数据模型的前提，不定无法进入详细设计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第二优先（影响上线时间）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R1、R3、R5、第 4 项</w:t>
            </w:r>
          </w:p>
        </w:tc>
        <w:tc>
          <w:tcPr>
            <w:tcW w:type="dxa" w:w="442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认证资料、服务器域名证书、校历、免填日期，任一缺失都会拖住上线或导致统计失真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第三优先（可与开发并行）</w:t>
            </w:r>
          </w:p>
        </w:tc>
        <w:tc>
          <w:tcPr>
            <w:tcW w:type="dxa" w:w="249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第 1、2、3、5、24、26 项</w:t>
            </w:r>
          </w:p>
        </w:tc>
        <w:tc>
          <w:tcPr>
            <w:tcW w:type="dxa" w:w="442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影响使用效果与数据真实性，可在开发期定稿，但必须在试点前定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可后置（涉及二期范围）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第 33–36、42 项</w:t>
            </w:r>
          </w:p>
        </w:tc>
        <w:tc>
          <w:tcPr>
            <w:tcW w:type="dxa" w:w="442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属于二期评估内容，一期按「不做」处理即可，不影响主体验收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/>
      <w:r>
        <w:rPr>
          <w:rFonts w:ascii="微软雅黑" w:hAnsi="微软雅黑" w:eastAsia="微软雅黑"/>
          <w:b/>
          <w:color w:val="1F3864"/>
          <w:sz w:val="32"/>
        </w:rPr>
        <w:t>六、确认回执单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如果走线上确认，这张表不用填。也可以单独打印本页作为签字用表。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color w:val="595959"/>
          <w:sz w:val="19"/>
        </w:rPr>
        <w:t>填写方式：同意的，在「确认意见」栏写「同意」；有调整意见的，写清楚怎么改。未填写的视为同意建议做法。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737"/>
        <w:gridCol w:w="3572"/>
        <w:gridCol w:w="4989"/>
      </w:tblGrid>
      <w:tr>
        <w:trPr>
          <w:tblHeader w:val="true"/>
        </w:trPr>
        <w:tc>
          <w:tcPr>
            <w:tcW w:type="dxa" w:w="73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3572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4989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确认意见（同意／调整说明）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357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多久更新一次进度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357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慢多少算滞后（需当场定）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357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预警先推给谁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357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寒暑假节假日要不要免填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357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三种报表各填什么（需当场定）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357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什么条件下可以结项（需当场定）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357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导出的表格要不要固定样式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357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以前的旧项目要不要录进来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357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预警和催办怎么通知到人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357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报表交错了怎么改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357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用什么电脑和浏览器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357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上级能不能替下级填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357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能不能单独开放或屏蔽数据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</w:t>
            </w:r>
          </w:p>
        </w:tc>
        <w:tc>
          <w:tcPr>
            <w:tcW w:type="dxa" w:w="357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操作记录保存多久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357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项目信息改了怎么办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type="dxa" w:w="357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一个子项目能不能几个学院一起做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type="dxa" w:w="357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项目做到一半停了怎么处理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</w:t>
            </w:r>
          </w:p>
        </w:tc>
        <w:tc>
          <w:tcPr>
            <w:tcW w:type="dxa" w:w="357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没有负责人、或人不在时谁来填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19</w:t>
            </w:r>
          </w:p>
        </w:tc>
        <w:tc>
          <w:tcPr>
            <w:tcW w:type="dxa" w:w="357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子项目有哪几种状态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357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学院进度和全校进度怎么算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21</w:t>
            </w:r>
          </w:p>
        </w:tc>
        <w:tc>
          <w:tcPr>
            <w:tcW w:type="dxa" w:w="357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权重谁来定、能不能改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22</w:t>
            </w:r>
          </w:p>
        </w:tc>
        <w:tc>
          <w:tcPr>
            <w:tcW w:type="dxa" w:w="357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预警几天内要处理完、从哪天算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23</w:t>
            </w:r>
          </w:p>
        </w:tc>
        <w:tc>
          <w:tcPr>
            <w:tcW w:type="dxa" w:w="357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预警能不能转给别人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24</w:t>
            </w:r>
          </w:p>
        </w:tc>
        <w:tc>
          <w:tcPr>
            <w:tcW w:type="dxa" w:w="357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预警数据要不要拿来考核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25</w:t>
            </w:r>
          </w:p>
        </w:tc>
        <w:tc>
          <w:tcPr>
            <w:tcW w:type="dxa" w:w="357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催办怎么催、记录在哪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26</w:t>
            </w:r>
          </w:p>
        </w:tc>
        <w:tc>
          <w:tcPr>
            <w:tcW w:type="dxa" w:w="357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附件要不要传、结项怎么查材料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27</w:t>
            </w:r>
          </w:p>
        </w:tc>
        <w:tc>
          <w:tcPr>
            <w:tcW w:type="dxa" w:w="357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结项由谁说了算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28</w:t>
            </w:r>
          </w:p>
        </w:tc>
        <w:tc>
          <w:tcPr>
            <w:tcW w:type="dxa" w:w="357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报表作废或更正后统计怎么变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29</w:t>
            </w:r>
          </w:p>
        </w:tc>
        <w:tc>
          <w:tcPr>
            <w:tcW w:type="dxa" w:w="357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质量督导、合作企业算什么身份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30</w:t>
            </w:r>
          </w:p>
        </w:tc>
        <w:tc>
          <w:tcPr>
            <w:tcW w:type="dxa" w:w="357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学院能不能看别的学院的数据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31</w:t>
            </w:r>
          </w:p>
        </w:tc>
        <w:tc>
          <w:tcPr>
            <w:tcW w:type="dxa" w:w="357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材料怎么交、填得快不快怎么算合格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32</w:t>
            </w:r>
          </w:p>
        </w:tc>
        <w:tc>
          <w:tcPr>
            <w:tcW w:type="dxa" w:w="357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系统管到哪一步（执行期还是全生命周期）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33</w:t>
            </w:r>
          </w:p>
        </w:tc>
        <w:tc>
          <w:tcPr>
            <w:tcW w:type="dxa" w:w="357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要不要做验收记录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34</w:t>
            </w:r>
          </w:p>
        </w:tc>
        <w:tc>
          <w:tcPr>
            <w:tcW w:type="dxa" w:w="357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要不要做经费管理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35</w:t>
            </w:r>
          </w:p>
        </w:tc>
        <w:tc>
          <w:tcPr>
            <w:tcW w:type="dxa" w:w="357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要不要做项目文档库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36</w:t>
            </w:r>
          </w:p>
        </w:tc>
        <w:tc>
          <w:tcPr>
            <w:tcW w:type="dxa" w:w="357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要不要做工时统计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37</w:t>
            </w:r>
          </w:p>
        </w:tc>
        <w:tc>
          <w:tcPr>
            <w:tcW w:type="dxa" w:w="357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要不要做甘特图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38</w:t>
            </w:r>
          </w:p>
        </w:tc>
        <w:tc>
          <w:tcPr>
            <w:tcW w:type="dxa" w:w="357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要不要记「原始计划」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39</w:t>
            </w:r>
          </w:p>
        </w:tc>
        <w:tc>
          <w:tcPr>
            <w:tcW w:type="dxa" w:w="357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要不要做任务前后依赖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40</w:t>
            </w:r>
          </w:p>
        </w:tc>
        <w:tc>
          <w:tcPr>
            <w:tcW w:type="dxa" w:w="357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要不要做项目模板和复制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41</w:t>
            </w:r>
          </w:p>
        </w:tc>
        <w:tc>
          <w:tcPr>
            <w:tcW w:type="dxa" w:w="357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看板放哪几张图</w:t>
            </w:r>
          </w:p>
        </w:tc>
        <w:tc>
          <w:tcPr>
            <w:tcW w:type="dxa" w:w="498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42</w:t>
            </w:r>
          </w:p>
        </w:tc>
        <w:tc>
          <w:tcPr>
            <w:tcW w:type="dxa" w:w="357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要不要做后评价和成效采集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</w:tbl>
    <w:p>
      <w:pPr>
        <w:spacing w:before="0" w:after="120" w:line="336" w:lineRule="auto"/>
      </w:pPr>
    </w:p>
    <w:p>
      <w:pPr>
        <w:spacing w:before="120" w:after="40" w:line="336" w:lineRule="auto"/>
      </w:pPr>
      <w:r>
        <w:rPr>
          <w:rFonts w:ascii="宋体" w:hAnsi="宋体" w:eastAsia="宋体"/>
          <w:b w:val="0"/>
          <w:sz w:val="20"/>
        </w:rPr>
        <w:t>学校确认部门（盖章）：＿＿＿＿＿＿＿＿＿＿＿＿＿＿＿＿＿＿＿＿＿＿＿＿</w:t>
      </w:r>
    </w:p>
    <w:p>
      <w:pPr>
        <w:spacing w:before="120" w:after="40" w:line="336" w:lineRule="auto"/>
      </w:pPr>
      <w:r>
        <w:rPr>
          <w:rFonts w:ascii="宋体" w:hAnsi="宋体" w:eastAsia="宋体"/>
          <w:b w:val="0"/>
          <w:sz w:val="20"/>
        </w:rPr>
        <w:t>负责人签字：＿＿＿＿＿＿＿＿＿＿＿＿＿＿　日期：＿＿＿＿＿＿＿＿＿＿</w:t>
      </w:r>
    </w:p>
    <w:p>
      <w:pPr>
        <w:spacing w:before="120" w:after="40" w:line="336" w:lineRule="auto"/>
      </w:pPr>
      <w:r>
        <w:rPr>
          <w:rFonts w:ascii="宋体" w:hAnsi="宋体" w:eastAsia="宋体"/>
          <w:b w:val="0"/>
          <w:sz w:val="20"/>
        </w:rPr>
        <w:t>项目组确认：＿＿＿＿＿＿＿＿＿＿＿＿＿＿　日期：＿＿＿＿＿＿＿＿＿＿</w:t>
      </w:r>
    </w:p>
    <w:p>
      <w:pPr>
        <w:spacing w:after="0"/>
      </w:pPr>
      <w:r>
        <w:br w:type="page"/>
      </w:r>
    </w:p>
    <w:p>
      <w:pPr>
        <w:pStyle w:val="Heading1"/>
      </w:pPr>
      <w:r/>
      <w:r>
        <w:rPr>
          <w:rFonts w:ascii="微软雅黑" w:hAnsi="微软雅黑" w:eastAsia="微软雅黑"/>
          <w:b/>
          <w:color w:val="1F3864"/>
          <w:sz w:val="32"/>
        </w:rPr>
        <w:t>七、确认之后怎么安排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这 42 项确认后，项目组在 1 周内出一份《详细设计输入清单》，把数据字典、状态流转和权限表落成可以照着开发的文档，然后进入详细设计。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794"/>
        <w:gridCol w:w="6463"/>
        <w:gridCol w:w="2041"/>
      </w:tblGrid>
      <w:tr>
        <w:trPr>
          <w:tblHeader w:val="true"/>
        </w:trPr>
        <w:tc>
          <w:tcPr>
            <w:tcW w:type="dxa" w:w="79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463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04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463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收回确认回执，逐项登记「同意 / 调整」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会后 5 个工作日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6463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按调整意见更新需求方案说明书，形成 V1.5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回执后 3 个工作日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6463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输出《详细设计输入清单》：数据字典、状态流转、权限矩阵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回执后 1 周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6463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进入详细设计与开发（M1 基础与台账先行，不依赖后续确认）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设计确认后</w:t>
            </w:r>
          </w:p>
        </w:tc>
      </w:tr>
    </w:tbl>
    <w:p>
      <w:pPr>
        <w:spacing w:before="0" w:after="80" w:line="33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</w:tblBorders>
        <w:tblCellMar>
          <w:top w:w="100" w:type="dxa"/>
          <w:left w:w="160" w:type="dxa"/>
          <w:bottom w:w="100" w:type="dxa"/>
          <w:right w:w="140" w:type="dxa"/>
        </w:tblCellMar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EAF0F8"/>
          </w:tcPr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特别提示：三件事建议优先确认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第 19 项（子项目有哪几种状态）、第 15 项（项目信息改了怎么办）、第 32 项（系统管到哪一步），这三项是详细设计的前置条件，建议优先定。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R1 统一身份认证的对接资料也需要尽早提供，否则这块功能会拖住整体上线。</w:t>
            </w:r>
          </w:p>
        </w:tc>
      </w:tr>
    </w:tbl>
    <w:p>
      <w:pPr>
        <w:spacing w:after="40"/>
      </w:pPr>
    </w:p>
    <w:p>
      <w:pPr>
        <w:pStyle w:val="Heading1"/>
      </w:pPr>
      <w:r/>
      <w:r>
        <w:rPr>
          <w:rFonts w:ascii="微软雅黑" w:hAnsi="微软雅黑" w:eastAsia="微软雅黑"/>
          <w:b/>
          <w:color w:val="1F3864"/>
          <w:sz w:val="32"/>
        </w:rPr>
        <w:t>八、附：与 V1.4 原文对照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19"/>
        </w:rPr>
        <w:t>本清单只做提炼，不改编号。需要看完整论证、举例与背景说明的，按下表回查原文。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68"/>
        <w:gridCol w:w="2494"/>
        <w:gridCol w:w="4535"/>
      </w:tblGrid>
      <w:tr>
        <w:trPr>
          <w:tblHeader w:val="true"/>
        </w:trPr>
        <w:tc>
          <w:tcPr>
            <w:tcW w:type="dxa" w:w="226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本清单章节</w:t>
            </w:r>
          </w:p>
        </w:tc>
        <w:tc>
          <w:tcPr>
            <w:tcW w:type="dxa" w:w="249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对应 V1.4 章节</w:t>
            </w:r>
          </w:p>
        </w:tc>
        <w:tc>
          <w:tcPr>
            <w:tcW w:type="dxa" w:w="4535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原文内容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二、总览</w:t>
            </w:r>
          </w:p>
        </w:tc>
        <w:tc>
          <w:tcPr>
            <w:tcW w:type="dxa" w:w="249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前言 二</w:t>
            </w:r>
          </w:p>
        </w:tc>
        <w:tc>
          <w:tcPr>
            <w:tcW w:type="dxa" w:w="453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确认事项总数与甲类／乙类说明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三、甲类 3 项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6.1 章首、表 19</w:t>
            </w:r>
          </w:p>
        </w:tc>
        <w:tc>
          <w:tcPr>
            <w:tcW w:type="dxa" w:w="453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甲类摘要表与「需当场定」标记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4.1 核心业务规则</w:t>
            </w:r>
          </w:p>
        </w:tc>
        <w:tc>
          <w:tcPr>
            <w:tcW w:type="dxa" w:w="249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6.1</w:t>
            </w:r>
          </w:p>
        </w:tc>
        <w:tc>
          <w:tcPr>
            <w:tcW w:type="dxa" w:w="453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需学校决策的八项核心业务规则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4.2 范围边界事项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6.2</w:t>
            </w:r>
          </w:p>
        </w:tc>
        <w:tc>
          <w:tcPr>
            <w:tcW w:type="dxa" w:w="453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需学校明确范围的六项边界事项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4.3–4.7 业务流程规则</w:t>
            </w:r>
          </w:p>
        </w:tc>
        <w:tc>
          <w:tcPr>
            <w:tcW w:type="dxa" w:w="249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6.3（一）至（五）</w:t>
            </w:r>
          </w:p>
        </w:tc>
        <w:tc>
          <w:tcPr>
            <w:tcW w:type="dxa" w:w="453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业务流程中需补充确认的 17 项（15–31）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4.8–4.9 范围与增强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6.3（六）（七）</w:t>
            </w:r>
          </w:p>
        </w:tc>
        <w:tc>
          <w:tcPr>
            <w:tcW w:type="dxa" w:w="453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范围界定 5 项（32–36）、增强功能 6 项（37–42）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五、资源</w:t>
            </w:r>
          </w:p>
        </w:tc>
        <w:tc>
          <w:tcPr>
            <w:tcW w:type="dxa" w:w="249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6.4</w:t>
            </w:r>
          </w:p>
        </w:tc>
        <w:tc>
          <w:tcPr>
            <w:tcW w:type="dxa" w:w="453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需学校提供的五项资源 R1–R5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六、回执单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6.5</w:t>
            </w:r>
          </w:p>
        </w:tc>
        <w:tc>
          <w:tcPr>
            <w:tcW w:type="dxa" w:w="453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确认回执与签字栏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七、后续安排</w:t>
            </w:r>
          </w:p>
        </w:tc>
        <w:tc>
          <w:tcPr>
            <w:tcW w:type="dxa" w:w="249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6.6</w:t>
            </w:r>
          </w:p>
        </w:tc>
        <w:tc>
          <w:tcPr>
            <w:tcW w:type="dxa" w:w="453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确认之后的安排</w:t>
            </w:r>
          </w:p>
        </w:tc>
      </w:tr>
    </w:tbl>
    <w:p>
      <w:pPr>
        <w:spacing w:before="0" w:after="200" w:line="336" w:lineRule="auto"/>
      </w:pPr>
    </w:p>
    <w:p>
      <w:pPr>
        <w:spacing w:before="0" w:after="80" w:line="336" w:lineRule="auto"/>
      </w:pPr>
      <w:r>
        <w:rPr>
          <w:rFonts w:ascii="宋体" w:hAnsi="宋体" w:eastAsia="宋体"/>
          <w:b w:val="0"/>
          <w:color w:val="595959"/>
          <w:sz w:val="17"/>
        </w:rPr>
        <w:t>编制说明：本清单是《需求方案说明书 V1.4》第六章的提炼版本，用于需求确认与回执，不替代原文。两者表述如有差异，以 V1.4 原文为准。文中项目名称、学院名称、人名与数据均为举例。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298" w:val="right"/>
      </w:tabs>
      <w:jc w:val="center"/>
      <w:pBdr>
        <w:top w:val="single" w:sz="4" w:space="4" w:color="BFBFBF"/>
      </w:pBdr>
    </w:pPr>
    <w:r/>
    <w:r>
      <w:rPr>
        <w:rFonts w:ascii="宋体" w:hAnsi="宋体" w:eastAsia="宋体"/>
        <w:color w:val="595959"/>
        <w:sz w:val="17"/>
      </w:rPr>
      <w:t>产教融合项目管理系统　需学校确认事项清单 V1.0</w:t>
      <w:tab/>
      <w:t xml:space="preserve">第 </w:t>
    </w:r>
    <w:r>
      <w:rPr>
        <w:rFonts w:ascii="宋体" w:hAnsi="宋体" w:eastAsia="宋体"/>
        <w:color w:val="595959"/>
        <w:sz w:val="17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color w:val="595959"/>
        <w:sz w:val="17"/>
      </w:rPr>
      <w:t xml:space="preserve"> 页 / 共 </w:t>
    </w:r>
    <w:r>
      <w:rPr>
        <w:rFonts w:ascii="宋体" w:hAnsi="宋体" w:eastAsia="宋体"/>
        <w:color w:val="595959"/>
        <w:sz w:val="17"/>
      </w:rPr>
      <w:fldChar w:fldCharType="begin"/>
      <w:instrText xml:space="preserve"> NUMPAGES </w:instrText>
      <w:fldChar w:fldCharType="end"/>
    </w:r>
    <w:r>
      <w:rPr>
        <w:rFonts w:ascii="宋体" w:hAnsi="宋体" w:eastAsia="宋体"/>
        <w:color w:val="595959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before="0" w:after="80"/>
    </w:pPr>
    <w:rPr>
      <w:rFonts w:ascii="宋体" w:hAnsi="宋体" w:eastAsia="宋体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00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00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6262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产教融合项目管理系统 · 需学校确认事项清单</dc:title>
  <dc:subject>提炼自需求方案说明书 V1.4 第六章</dc:subject>
  <dc:creator>产教融合项目管理系统项目组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