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0DDB29E9" w:rsidR="00D65250" w:rsidRDefault="0075576A" w:rsidP="00D65250">
      <w:r>
        <w:t>C</w:t>
      </w:r>
      <w:r w:rsidR="00251250">
        <w:t>hanges</w:t>
      </w:r>
      <w:r w:rsidR="00FF1BAE">
        <w:t xml:space="preserve"> in main branch</w:t>
      </w:r>
      <w:r w:rsidR="00251250">
        <w:t xml:space="preserve"> </w:t>
      </w:r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77777777" w:rsidR="00D65250" w:rsidRDefault="00D65250" w:rsidP="00D65250">
      <w:r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7C841159" w:rsidR="00D65250" w:rsidRDefault="003C3AFB" w:rsidP="00D65250">
      <w:r>
        <w:t xml:space="preserve">This is master change. </w:t>
      </w:r>
      <w:bookmarkStart w:id="0" w:name="_GoBack"/>
      <w:bookmarkEnd w:id="0"/>
      <w:r w:rsidR="00EE4646">
        <w:t>In this paper, the authors proposed a coarse-to-fine strategy for addressing multi-labeling tasks such as stereo matching and optical flow estimation</w:t>
      </w:r>
      <w:r w:rsidR="00A019FD">
        <w:t>. The motivation is clearly stated and experiments verified the effectiveness of the method.</w:t>
      </w:r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Pollefeys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B1B96"/>
    <w:rsid w:val="000B53F3"/>
    <w:rsid w:val="00251250"/>
    <w:rsid w:val="002A3C22"/>
    <w:rsid w:val="002C5E61"/>
    <w:rsid w:val="002E562F"/>
    <w:rsid w:val="003C1767"/>
    <w:rsid w:val="003C3AFB"/>
    <w:rsid w:val="004F4CBE"/>
    <w:rsid w:val="00587A98"/>
    <w:rsid w:val="0060344C"/>
    <w:rsid w:val="0064490E"/>
    <w:rsid w:val="0075576A"/>
    <w:rsid w:val="00772BC8"/>
    <w:rsid w:val="009E4476"/>
    <w:rsid w:val="00A019FD"/>
    <w:rsid w:val="00A72F7C"/>
    <w:rsid w:val="00AD0AC5"/>
    <w:rsid w:val="00B87BB4"/>
    <w:rsid w:val="00BC7743"/>
    <w:rsid w:val="00C5274D"/>
    <w:rsid w:val="00CE6B99"/>
    <w:rsid w:val="00D65250"/>
    <w:rsid w:val="00E86A31"/>
    <w:rsid w:val="00EE4646"/>
    <w:rsid w:val="00FD1C22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EAE9D-993E-364F-891D-9DDCA6B5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276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2015-10-06T08:26:00Z</dcterms:created>
  <dcterms:modified xsi:type="dcterms:W3CDTF">2015-10-27T06:26:00Z</dcterms:modified>
</cp:coreProperties>
</file>