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Urban Imperviousness Mapping with AlphaEarth Embeddings and Sentinel-2: Local Performance, Cross-City Transfer and Training-Label Effects</w:t>
      </w:r>
    </w:p>
    <w:p>
      <w:pPr>
        <w:spacing w:after="100"/>
        <w:jc w:val="center"/>
      </w:pPr>
      <w:r>
        <w:rPr>
          <w:rFonts w:ascii="Times New Roman" w:cs="Times New Roman" w:eastAsia="Times New Roman" w:hAnsi="Times New Roman"/>
          <w:i/>
          <w:iCs/>
          <w:sz w:val="22"/>
          <w:szCs w:val="22"/>
        </w:rPr>
        <w:t xml:space="preserve">Maria Antonia Brovelli, Matej Žgela, Keerthana Kirubakaran and Xiao Tan — Politecnico di Milano</w:t>
      </w:r>
    </w:p>
    <w:p>
      <w:pPr>
        <w:spacing w:after="300"/>
        <w:jc w:val="center"/>
      </w:pPr>
      <w:r>
        <w:rPr>
          <w:rFonts w:ascii="Times New Roman" w:cs="Times New Roman" w:eastAsia="Times New Roman" w:hAnsi="Times New Roman"/>
          <w:i/>
          <w:iCs/>
          <w:color w:val="888888"/>
          <w:sz w:val="20"/>
          <w:szCs w:val="20"/>
        </w:rPr>
        <w:t xml:space="preserve">Working draft — Section 1 only. Author list copied from the existing internal report as a placeholder; not yet confirmed for this paper.</w:t>
      </w:r>
    </w:p>
    <w:p>
      <w:pPr>
        <w:pStyle w:val="Heading1"/>
        <w:spacing w:after="150" w:before="300"/>
      </w:pPr>
      <w:r>
        <w:rPr>
          <w:rFonts w:ascii="Times New Roman" w:cs="Times New Roman" w:eastAsia="Times New Roman" w:hAnsi="Times New Roman"/>
        </w:rPr>
        <w:t xml:space="preserve">1. Introduction</w:t>
      </w:r>
    </w:p>
    <w:p>
      <w:pPr>
        <w:pStyle w:val="Heading2"/>
        <w:spacing w:after="120" w:before="240"/>
      </w:pPr>
      <w:r>
        <w:rPr>
          <w:rFonts w:ascii="Times New Roman" w:cs="Times New Roman" w:eastAsia="Times New Roman" w:hAnsi="Times New Roman"/>
        </w:rPr>
        <w:t xml:space="preserve">1.1 Imperviousness density and applications</w:t>
      </w:r>
    </w:p>
    <w:p>
      <w:pPr>
        <w:spacing w:after="200"/>
      </w:pPr>
      <w:r>
        <w:rPr>
          <w:rFonts w:ascii="Times New Roman" w:cs="Times New Roman" w:eastAsia="Times New Roman" w:hAnsi="Times New Roman"/>
          <w:sz w:val="24"/>
          <w:szCs w:val="24"/>
        </w:rPr>
        <w:t xml:space="preserve">Imperviousness, or impervious surface density (IMD), is the proportion of land surface covered by impervious materials such as buildings, roads and pavements. Unlike natural ground, these surfaces do not let rain infiltrate, and turn it into runoff instead. IMD mapping estimates the impervious fraction for each pixel of a study area and produces a continuous spatial map, with every pixel holding a value from 0 to 100%, rather than a binary built/not-built label.</w:t>
      </w:r>
    </w:p>
    <w:p>
      <w:pPr>
        <w:spacing w:after="200"/>
      </w:pPr>
      <w:r>
        <w:rPr>
          <w:rFonts w:ascii="Times New Roman" w:cs="Times New Roman" w:eastAsia="Times New Roman" w:hAnsi="Times New Roman"/>
          <w:sz w:val="24"/>
          <w:szCs w:val="24"/>
        </w:rPr>
        <w:t xml:space="preserve">Because it is continuous and spatially explicit, IMD underpins a range of applications beyond the surface-cover inventory it directly measures. Stormwater and flood-risk models use it to estimate runoff generation at the catchment scale. Urban Heat Island (UHI) studies use it as a covariate for land surface temperature, since impervious materials retain and re-radiate heat differently from vegetated or bare ground. Local Climate Zone (LCZ) classification, which groups urban areas into classes with comparable thermal behaviour, uses IMD as one of its defining surface-cover fractions. Sustainability and land-monitoring programmes track IMD change over time as an indicator of urban growth and soil sealing.</w:t>
      </w:r>
    </w:p>
    <w:p>
      <w:pPr>
        <w:spacing w:after="200"/>
      </w:pPr>
      <w:r>
        <w:rPr>
          <w:rFonts w:ascii="Times New Roman" w:cs="Times New Roman" w:eastAsia="Times New Roman" w:hAnsi="Times New Roman"/>
          <w:sz w:val="24"/>
          <w:szCs w:val="24"/>
        </w:rPr>
        <w:t xml:space="preserve">This range of downstream uses is also what motivates the present study. Milan has a published IMD product; Hanoi and Ho Chi Minh City (HCMC) do not. A map is needed for both cities to support LCZ mapping and UHI analysis within the Italy–Vietnam LCZ-UHI-GEO project and the Space it up! project, whose partners are Politecnico di Milano and the Vietnam National Space Center (VNSC). Producing it is the applied motivation behind the comparison this paper reports.</w:t>
      </w:r>
    </w:p>
    <w:p>
      <w:pPr>
        <w:pStyle w:val="Heading2"/>
        <w:spacing w:after="120" w:before="240"/>
      </w:pPr>
      <w:r>
        <w:rPr>
          <w:rFonts w:ascii="Times New Roman" w:cs="Times New Roman" w:eastAsia="Times New Roman" w:hAnsi="Times New Roman"/>
        </w:rPr>
        <w:t xml:space="preserve">1.2 Existing EO-based IMD mapping: state of the art</w:t>
      </w:r>
    </w:p>
    <w:p>
      <w:pPr>
        <w:spacing w:after="200"/>
      </w:pPr>
      <w:r>
        <w:rPr>
          <w:rFonts w:ascii="Times New Roman" w:cs="Times New Roman" w:eastAsia="Times New Roman" w:hAnsi="Times New Roman"/>
          <w:sz w:val="24"/>
          <w:szCs w:val="24"/>
        </w:rPr>
        <w:t xml:space="preserve">Mapping impervious surfaces from Earth observation (EO) imagery has been an active area of remote sensing research for over two decades; Weng (2012) reviews the methods, requirements and trends up to the early 2010s. Two broad families of approach dominate the literature. Sub-pixel methods, most commonly spectral mixture analysis, decompose each pixel's reflectance into fractions of a small set of pure materials (impervious surface, vegetation, soil, sometimes water) and report the impervious fraction directly. Regression and classification methods instead train a statistical or machine-learning model — historically linear regression and support vector machines, more recently ensemble tree methods — against a reference IMD or built-up surface layer, then apply it to new imagery. The present study follows the second family: a Random Forest regressor trained against a reference product, the approach also used by the two reference products this study relies on.</w:t>
      </w:r>
    </w:p>
    <w:p>
      <w:pPr>
        <w:spacing w:after="200"/>
      </w:pPr>
      <w:r>
        <w:rPr>
          <w:rFonts w:ascii="Times New Roman" w:cs="Times New Roman" w:eastAsia="Times New Roman" w:hAnsi="Times New Roman"/>
          <w:sz w:val="24"/>
          <w:szCs w:val="24"/>
        </w:rPr>
        <w:t xml:space="preserve">Global and regional IMD or built-up-surface products exist at a range of resolutions. The Copernicus Land Monitoring Service's Imperviousness Density and the Global Human Settlement Layer's GHS-BUILT-S, both used as training targets in this study, are two examples. Others combine multiple sensors on cloud platforms to reach global or near-global coverage: Zhang et al. (2020) produce a 30 m global impervious surface map for 2015 by combining Landsat 8, Sentinel-1 and VIIRS night-light imagery on Google Earth Engine, and Sun et al. (2023) map 10 m impervious surface for the Greater Mekong Subregion — which includes northern and southern Vietnam — from Sentinel-2 and Sentinel-1. Neither, however, produces a 2018-dated, 10 m product for Hanoi or HCMC specifically, which is the gap this study's reference-target choice works around rather than fills directly.</w:t>
      </w:r>
    </w:p>
    <w:p>
      <w:pPr>
        <w:spacing w:after="200"/>
      </w:pPr>
      <w:r>
        <w:rPr>
          <w:rFonts w:ascii="Times New Roman" w:cs="Times New Roman" w:eastAsia="Times New Roman" w:hAnsi="Times New Roman"/>
          <w:sz w:val="24"/>
          <w:szCs w:val="24"/>
        </w:rPr>
        <w:t xml:space="preserve">A recurring finding across this literature is that mapping accuracy depends as much on the reference product a model is trained against as on the predictor imagery itself, since different reference products encode different physical definitions of what counts as impervious (sealed ground versus roofed structure, for instance). The Results section returns to this point directly for the three cities studied here.</w:t>
      </w:r>
    </w:p>
    <w:p>
      <w:pPr>
        <w:pStyle w:val="Heading2"/>
        <w:spacing w:after="120" w:before="240"/>
      </w:pPr>
      <w:r>
        <w:rPr>
          <w:rFonts w:ascii="Times New Roman" w:cs="Times New Roman" w:eastAsia="Times New Roman" w:hAnsi="Times New Roman"/>
        </w:rPr>
        <w:t xml:space="preserve">1.3 Geospatial foundation models and embeddings</w:t>
      </w:r>
    </w:p>
    <w:p>
      <w:pPr>
        <w:spacing w:after="200"/>
      </w:pPr>
      <w:r>
        <w:rPr>
          <w:rFonts w:ascii="Times New Roman" w:cs="Times New Roman" w:eastAsia="Times New Roman" w:hAnsi="Times New Roman"/>
          <w:sz w:val="24"/>
          <w:szCs w:val="24"/>
        </w:rPr>
        <w:t xml:space="preserve">Foundation models — large models pretrained on broad data and adapted to many downstream tasks — have more recently been extended from natural imagery to Earth observation. Xiao et al. (2024) survey this emerging field, covering visual, vision-language and other remote sensing foundation models and the growing collection of pretraining datasets built to support them.</w:t>
      </w:r>
    </w:p>
    <w:p>
      <w:pPr>
        <w:spacing w:after="200"/>
      </w:pPr>
      <w:r>
        <w:rPr>
          <w:rFonts w:ascii="Times New Roman" w:cs="Times New Roman" w:eastAsia="Times New Roman" w:hAnsi="Times New Roman"/>
          <w:sz w:val="24"/>
          <w:szCs w:val="24"/>
        </w:rPr>
        <w:t xml:space="preserve">One strand of this work produces embeddings: fixed-length, per-pixel feature vectors that summarise large amounts of multi-sensor, multi-temporal satellite imagery into a single, ready-made input layer. Used this way, a downstream task needs no local image compositing — no choice of which dates to use or how to combine them — because that work has already been done once, globally, by the model that produced the embeddings. Google's AlphaEarth Foundations (Brown et al., 2025) is one such model, providing 64-dimensional annual embeddings worldwide through Google Earth Engine (Gorelick et al., 2017).</w:t>
      </w:r>
    </w:p>
    <w:p>
      <w:pPr>
        <w:spacing w:after="200"/>
      </w:pPr>
      <w:r>
        <w:rPr>
          <w:rFonts w:ascii="Times New Roman" w:cs="Times New Roman" w:eastAsia="Times New Roman" w:hAnsi="Times New Roman"/>
          <w:sz w:val="24"/>
          <w:szCs w:val="24"/>
        </w:rPr>
        <w:t xml:space="preserve">Most published evaluations of EO embeddings address discrete tasks — land cover classification, crop type mapping — rather than continuous surface estimation. Whether embeddings of this kind are competitive with purpose-built local composites for a continuous regression target like IMD, and whether a model trained on them transfers across cities with different climates and urban forms, is accordingly still largely untested. This is the gap the present study addresses.</w:t>
      </w:r>
    </w:p>
    <w:p>
      <w:pPr>
        <w:pStyle w:val="Heading2"/>
        <w:spacing w:after="120" w:before="240"/>
      </w:pPr>
      <w:r>
        <w:rPr>
          <w:rFonts w:ascii="Times New Roman" w:cs="Times New Roman" w:eastAsia="Times New Roman" w:hAnsi="Times New Roman"/>
        </w:rPr>
        <w:t xml:space="preserve">1.4 Research questions and contributions</w:t>
      </w:r>
    </w:p>
    <w:p>
      <w:pPr>
        <w:spacing w:after="200"/>
      </w:pPr>
      <w:r>
        <w:rPr>
          <w:rFonts w:ascii="Times New Roman" w:cs="Times New Roman" w:eastAsia="Times New Roman" w:hAnsi="Times New Roman"/>
          <w:sz w:val="24"/>
          <w:szCs w:val="24"/>
        </w:rPr>
        <w:t xml:space="preserve">This paper asks three questions, corresponding to the three themes in its title.</w:t>
      </w:r>
    </w:p>
    <w:p>
      <w:pPr>
        <w:pStyle w:val="ListParagraph"/>
        <w:numPr>
          <w:ilvl w:val="0"/>
          <w:numId w:val="2"/>
        </w:numPr>
        <w:spacing w:after="160"/>
      </w:pPr>
      <w:r>
        <w:rPr>
          <w:rFonts w:ascii="Times New Roman" w:cs="Times New Roman" w:eastAsia="Times New Roman" w:hAnsi="Times New Roman"/>
          <w:b/>
          <w:bCs/>
          <w:sz w:val="24"/>
          <w:szCs w:val="24"/>
        </w:rPr>
        <w:t xml:space="preserve">Local performance. </w:t>
      </w:r>
      <w:r>
        <w:rPr>
          <w:rFonts w:ascii="Times New Roman" w:cs="Times New Roman" w:eastAsia="Times New Roman" w:hAnsi="Times New Roman"/>
          <w:sz w:val="24"/>
          <w:szCs w:val="24"/>
        </w:rPr>
        <w:t xml:space="preserve">For 10 m imperviousness mapping within a single city, how does a Random Forest trained on AlphaEarth embeddings compare with one trained on a locally composed Sentinel-2 image, under the same sampling, validation and tuning procedure?</w:t>
      </w:r>
    </w:p>
    <w:p>
      <w:pPr>
        <w:pStyle w:val="ListParagraph"/>
        <w:numPr>
          <w:ilvl w:val="0"/>
          <w:numId w:val="2"/>
        </w:numPr>
        <w:spacing w:after="160"/>
      </w:pPr>
      <w:r>
        <w:rPr>
          <w:rFonts w:ascii="Times New Roman" w:cs="Times New Roman" w:eastAsia="Times New Roman" w:hAnsi="Times New Roman"/>
          <w:b/>
          <w:bCs/>
          <w:sz w:val="24"/>
          <w:szCs w:val="24"/>
        </w:rPr>
        <w:t xml:space="preserve">Cross-city transfer. </w:t>
      </w:r>
      <w:r>
        <w:rPr>
          <w:rFonts w:ascii="Times New Roman" w:cs="Times New Roman" w:eastAsia="Times New Roman" w:hAnsi="Times New Roman"/>
          <w:sz w:val="24"/>
          <w:szCs w:val="24"/>
        </w:rPr>
        <w:t xml:space="preserve">Does a model trained in one city apply directly to another, climatically and structurally different city (zero-shot transfer), or is local retraining needed — and does the answer differ between AlphaEarth and Sentinel-2 predictors?</w:t>
      </w:r>
    </w:p>
    <w:p>
      <w:pPr>
        <w:pStyle w:val="ListParagraph"/>
        <w:numPr>
          <w:ilvl w:val="0"/>
          <w:numId w:val="2"/>
        </w:numPr>
        <w:spacing w:after="200"/>
      </w:pPr>
      <w:r>
        <w:rPr>
          <w:rFonts w:ascii="Times New Roman" w:cs="Times New Roman" w:eastAsia="Times New Roman" w:hAnsi="Times New Roman"/>
          <w:b/>
          <w:bCs/>
          <w:sz w:val="24"/>
          <w:szCs w:val="24"/>
        </w:rPr>
        <w:t xml:space="preserve">Training-label effects. </w:t>
      </w:r>
      <w:r>
        <w:rPr>
          <w:rFonts w:ascii="Times New Roman" w:cs="Times New Roman" w:eastAsia="Times New Roman" w:hAnsi="Times New Roman"/>
          <w:sz w:val="24"/>
          <w:szCs w:val="24"/>
        </w:rPr>
        <w:t xml:space="preserve">How much of a mapping method's accuracy is attributable to the predictor (AlphaEarth versus Sentinel-2) as opposed to the reference product it is trained against (CLMS versus GHS-BUILT-S)?</w:t>
      </w:r>
    </w:p>
    <w:p>
      <w:pPr>
        <w:spacing w:after="200"/>
      </w:pPr>
      <w:r>
        <w:rPr>
          <w:rFonts w:ascii="Times New Roman" w:cs="Times New Roman" w:eastAsia="Times New Roman" w:hAnsi="Times New Roman"/>
          <w:sz w:val="24"/>
          <w:szCs w:val="24"/>
        </w:rPr>
        <w:t xml:space="preserve">Answering them, the paper makes four contributions. First, it compares Sentinel-2 and AlphaEarth embeddings for local 10 m imperviousness mapping in Milan, under an identical spatial-block sampling, cross-validation and hyperparameter-tuning procedure for both predictors. Second, it evaluates both zero-shot transfer and local retraining of that mapping across three cities with different climates and urban morphologies — Milan, Hanoi and HCMC — none of which has previously been compared this way for this task. Third, it isolates the effect of the training target by producing Milan maps against both CLMS and GHS-BUILT-S under otherwise identical conditions. Fourth, it validates every resulting map against an independent reference dataset, EarthLabel, that was not used to train any of the models, so that the comparisons above are not an artefact of a shared reference product.</w:t>
      </w:r>
    </w:p>
    <w:p>
      <w:pPr>
        <w:pStyle w:val="Heading2"/>
        <w:spacing w:after="120" w:before="240"/>
      </w:pPr>
      <w:r>
        <w:rPr>
          <w:rFonts w:ascii="Times New Roman" w:cs="Times New Roman" w:eastAsia="Times New Roman" w:hAnsi="Times New Roman"/>
        </w:rPr>
        <w:t xml:space="preserve">References cited in this section</w:t>
      </w:r>
    </w:p>
    <w:p>
      <w:pPr>
        <w:spacing w:after="200"/>
      </w:pPr>
      <w:r>
        <w:rPr>
          <w:rFonts w:ascii="Times New Roman" w:cs="Times New Roman" w:eastAsia="Times New Roman" w:hAnsi="Times New Roman"/>
          <w:i/>
          <w:iCs/>
          <w:color w:val="888888"/>
          <w:sz w:val="20"/>
          <w:szCs w:val="20"/>
        </w:rPr>
        <w:t xml:space="preserve">Listed alphabetically for reading. Matching \cite keys already exist in paper/refs.bib (same spelling as the bracketed word after each entry) for when this is pasted into the LaTeX source.</w:t>
      </w:r>
    </w:p>
    <w:p>
      <w:pPr>
        <w:spacing w:after="160"/>
        <w:ind w:left="431" w:hanging="431"/>
      </w:pPr>
      <w:r>
        <w:rPr>
          <w:rFonts w:ascii="Times New Roman" w:cs="Times New Roman" w:eastAsia="Times New Roman" w:hAnsi="Times New Roman"/>
          <w:sz w:val="22"/>
          <w:szCs w:val="22"/>
        </w:rP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 arXiv preprint arXiv:2507.22291. [brown2025alphaearth]</w:t>
      </w:r>
    </w:p>
    <w:p>
      <w:pPr>
        <w:spacing w:after="160"/>
        <w:ind w:left="431" w:hanging="431"/>
      </w:pPr>
      <w:r>
        <w:rPr>
          <w:rFonts w:ascii="Times New Roman" w:cs="Times New Roman" w:eastAsia="Times New Roman" w:hAnsi="Times New Roman"/>
          <w:sz w:val="22"/>
          <w:szCs w:val="22"/>
        </w:rPr>
        <w:t xml:space="preserve">Gorelick, N., Hancher, M., Dixon, M., Ilyushchenko, S., Thau, D., &amp; Moore, R. (2017). Google Earth Engine: Planetary-scale geospatial analysis for everyone. Remote Sensing of Environment, 202, 18–27. [gorelick2017gee]</w:t>
      </w:r>
    </w:p>
    <w:p>
      <w:pPr>
        <w:spacing w:after="160"/>
        <w:ind w:left="431" w:hanging="431"/>
      </w:pPr>
      <w:r>
        <w:rPr>
          <w:rFonts w:ascii="Times New Roman" w:cs="Times New Roman" w:eastAsia="Times New Roman" w:hAnsi="Times New Roman"/>
          <w:sz w:val="22"/>
          <w:szCs w:val="22"/>
        </w:rPr>
        <w:t xml:space="preserve">Sun, G., Li, Z., Zhang, A., Wang, X., Yan, K., Jia, X., Liu, Q., &amp; Li, J. (2023). A 10-m resolution impervious surface area map for the greater Mekong subregion from remote sensing images. Scientific Data, 10, 607. [sun2023mekong]</w:t>
      </w:r>
    </w:p>
    <w:p>
      <w:pPr>
        <w:spacing w:after="160"/>
        <w:ind w:left="431" w:hanging="431"/>
      </w:pPr>
      <w:r>
        <w:rPr>
          <w:rFonts w:ascii="Times New Roman" w:cs="Times New Roman" w:eastAsia="Times New Roman" w:hAnsi="Times New Roman"/>
          <w:sz w:val="22"/>
          <w:szCs w:val="22"/>
        </w:rPr>
        <w:t xml:space="preserve">Weng, Q. (2012). Remote sensing of impervious surfaces in the urban areas: Requirements, methods, and trends. Remote Sensing of Environment, 117, 34–49. [weng2012impervious]</w:t>
      </w:r>
    </w:p>
    <w:p>
      <w:pPr>
        <w:spacing w:after="160"/>
        <w:ind w:left="431" w:hanging="431"/>
      </w:pPr>
      <w:r>
        <w:rPr>
          <w:rFonts w:ascii="Times New Roman" w:cs="Times New Roman" w:eastAsia="Times New Roman" w:hAnsi="Times New Roman"/>
          <w:sz w:val="22"/>
          <w:szCs w:val="22"/>
        </w:rPr>
        <w:t xml:space="preserve">Xiao, A., Xuan, W., Wang, J., Huang, J., Tao, D., Lu, S., &amp; Yokoya, N. (2024). Foundation Models for Remote Sensing and Earth Observation: A Survey. arXiv preprint arXiv:2410.16602. [xiao2024fmsurvey]</w:t>
      </w:r>
    </w:p>
    <w:p>
      <w:pPr>
        <w:spacing w:after="160"/>
        <w:ind w:left="431" w:hanging="431"/>
      </w:pPr>
      <w:r>
        <w:rPr>
          <w:rFonts w:ascii="Times New Roman" w:cs="Times New Roman" w:eastAsia="Times New Roman" w:hAnsi="Times New Roman"/>
          <w:sz w:val="22"/>
          <w:szCs w:val="22"/>
        </w:rPr>
        <w:t xml:space="preserve">Zhang, X., Liu, L., Wu, C., Chen, X., Gao, Y., Xie, S., &amp; Zhang, B. (2020). Development of a global 30 m impervious surface map using multisource and multitemporal remote sensing datasets with the Google Earth Engine platform. Earth System Science Data, 12(3), 1625–1648. [zhang2020global30m]</w:t>
      </w:r>
    </w:p>
    <w:p>
      <w:pPr>
        <w:pStyle w:val="Heading1"/>
        <w:spacing w:after="150" w:before="300"/>
      </w:pPr>
      <w:r>
        <w:rPr>
          <w:rFonts w:ascii="Times New Roman" w:cs="Times New Roman" w:eastAsia="Times New Roman" w:hAnsi="Times New Roman"/>
        </w:rPr>
        <w:t xml:space="preserve">2. Study Areas and Data</w:t>
      </w:r>
    </w:p>
    <w:p>
      <w:pPr>
        <w:pStyle w:val="Heading2"/>
        <w:spacing w:after="120" w:before="240"/>
      </w:pPr>
      <w:r>
        <w:rPr>
          <w:rFonts w:ascii="Times New Roman" w:cs="Times New Roman" w:eastAsia="Times New Roman" w:hAnsi="Times New Roman"/>
        </w:rPr>
        <w:t xml:space="preserve">2.1 Milan, Hanoi, Ho Chi Minh City</w:t>
      </w:r>
    </w:p>
    <w:p>
      <w:pPr>
        <w:spacing w:after="200"/>
      </w:pPr>
      <w:r>
        <w:rPr>
          <w:rFonts w:ascii="Times New Roman" w:cs="Times New Roman" w:eastAsia="Times New Roman" w:hAnsi="Times New Roman"/>
          <w:sz w:val="24"/>
          <w:szCs w:val="24"/>
        </w:rPr>
        <w:t xml:space="preserve">The study covers three cities in 2018: Milan in Italy, and Hanoi and Ho Chi Minh City (HCMC) in Vietnam. Milan and Hanoi are roughly 8,856 km apart. Cities this far apart, with such different climates, data availability and urban forms, make it possible to test whether one IMD mapping method transfers from one place to a very different one.</w:t>
      </w:r>
    </w:p>
    <w:p>
      <w:pPr>
        <w:spacing w:after="200"/>
      </w:pPr>
      <w:r>
        <w:rPr>
          <w:rFonts w:ascii="Times New Roman" w:cs="Times New Roman" w:eastAsia="Times New Roman" w:hAnsi="Times New Roman"/>
          <w:sz w:val="24"/>
          <w:szCs w:val="24"/>
        </w:rPr>
        <w:t xml:space="preserve">All maps are produced on a 10 m grid. The Milan area of interest (AOI) covers 78 by 58 km and is projected in WGS 84 / UTM zone 32N (EPSG:32632). The Hanoi and HCMC AOIs each cover 30 by 30 km and are projected in WGS 84 / UTM zone 48N (EPSG:32648).</w:t>
      </w:r>
    </w:p>
    <w:p>
      <w:pPr>
        <w:spacing w:after="240" w:before="100"/>
      </w:pPr>
      <w:r>
        <w:rPr>
          <w:rFonts w:ascii="Times New Roman" w:cs="Times New Roman" w:eastAsia="Times New Roman" w:hAnsi="Times New Roman"/>
          <w:i/>
          <w:iCs/>
          <w:sz w:val="20"/>
          <w:szCs w:val="20"/>
        </w:rPr>
        <w:t xml:space="preserve">[Figure: study-area map — world map locating Milan, Hanoi and HCMC, with the AOI boxed in each inset. Reuse report/figs/deck/fig03_study_area.png.]</w:t>
      </w:r>
    </w:p>
    <w:p>
      <w:pPr>
        <w:pStyle w:val="Heading2"/>
        <w:spacing w:after="120" w:before="240"/>
      </w:pPr>
      <w:r>
        <w:rPr>
          <w:rFonts w:ascii="Times New Roman" w:cs="Times New Roman" w:eastAsia="Times New Roman" w:hAnsi="Times New Roman"/>
        </w:rPr>
        <w:t xml:space="preserve">2.2 CLMS Imperviousness Density</w:t>
      </w:r>
    </w:p>
    <w:p>
      <w:pPr>
        <w:spacing w:after="200"/>
      </w:pPr>
      <w:r>
        <w:rPr>
          <w:rFonts w:ascii="Times New Roman" w:cs="Times New Roman" w:eastAsia="Times New Roman" w:hAnsi="Times New Roman"/>
          <w:sz w:val="24"/>
          <w:szCs w:val="24"/>
        </w:rPr>
        <w:t xml:space="preserve">The Copernicus Land Monitoring Service's Imperviousness Density 2018 (CLMS; European Environment Agency) is one of two reference products used as a training target. It measures sealed surface — anything that seals the ground, including roofs, roads and pavements — on a 0 to 100% scale, at 10 m resolution. It covers Europe only, so it exists for Milan but not for Hanoi or HCMC.</w:t>
      </w:r>
    </w:p>
    <w:p>
      <w:pPr>
        <w:pStyle w:val="Heading2"/>
        <w:spacing w:after="120" w:before="240"/>
      </w:pPr>
      <w:r>
        <w:rPr>
          <w:rFonts w:ascii="Times New Roman" w:cs="Times New Roman" w:eastAsia="Times New Roman" w:hAnsi="Times New Roman"/>
        </w:rPr>
        <w:t xml:space="preserve">2.3 GHS-BUILT-S</w:t>
      </w:r>
    </w:p>
    <w:p>
      <w:pPr>
        <w:spacing w:after="200"/>
      </w:pPr>
      <w:r>
        <w:rPr>
          <w:rFonts w:ascii="Times New Roman" w:cs="Times New Roman" w:eastAsia="Times New Roman" w:hAnsi="Times New Roman"/>
          <w:sz w:val="24"/>
          <w:szCs w:val="24"/>
        </w:rPr>
        <w:t xml:space="preserve">GHS-BUILT-S R2023A (GHSL; European Commission Joint Research Centre) is the second reference product. It measures roofed built-up surface and, by design, excludes roads and open pavement — also on a 0 to 100% scale. It is global, so it is available for all three cities, and is the only training target available in Hanoi and HCMC. In Milan both products are available, so every Milan model is trained twice, once against each.</w:t>
      </w:r>
    </w:p>
    <w:p>
      <w:pPr>
        <w:spacing w:after="240" w:before="100"/>
      </w:pPr>
      <w:r>
        <w:rPr>
          <w:rFonts w:ascii="Times New Roman" w:cs="Times New Roman" w:eastAsia="Times New Roman" w:hAnsi="Times New Roman"/>
          <w:i/>
          <w:iCs/>
          <w:sz w:val="20"/>
          <w:szCs w:val="20"/>
        </w:rPr>
        <w:t xml:space="preserve">[Figure: the two training targets over the Milan AOI on the same colour scale — CLMS includes roads and pavements, GHSL counts roofed surface only. Reuse report/figs/deck/fig_milan_benchmarks.png.]</w:t>
      </w:r>
    </w:p>
    <w:p>
      <w:pPr>
        <w:pStyle w:val="Heading2"/>
        <w:spacing w:after="120" w:before="240"/>
      </w:pPr>
      <w:r>
        <w:rPr>
          <w:rFonts w:ascii="Times New Roman" w:cs="Times New Roman" w:eastAsia="Times New Roman" w:hAnsi="Times New Roman"/>
        </w:rPr>
        <w:t xml:space="preserve">2.4 Sentinel-2</w:t>
      </w:r>
    </w:p>
    <w:p>
      <w:pPr>
        <w:spacing w:after="200"/>
      </w:pPr>
      <w:r>
        <w:rPr>
          <w:rFonts w:ascii="Times New Roman" w:cs="Times New Roman" w:eastAsia="Times New Roman" w:hAnsi="Times New Roman"/>
          <w:sz w:val="24"/>
          <w:szCs w:val="24"/>
        </w:rPr>
        <w:t xml:space="preserve">Sentinel-2 Level-2A surface reflectance (COPERNICUS/S2_SR_HARMONIZED) is used with 10 bands: B2, B3, B4, B5, B6, B7, B8, B8A, B11 and B12. Dates are screened per city. Cloud percentage is the cloud cover over the AOI, and valid percentage is the share of valid pixels over the AOI once cloud and no-data pixels are excluded.</w:t>
      </w:r>
    </w:p>
    <w:p>
      <w:pPr>
        <w:spacing w:after="200"/>
      </w:pPr>
      <w:r>
        <w:rPr>
          <w:rFonts w:ascii="Times New Roman" w:cs="Times New Roman" w:eastAsia="Times New Roman" w:hAnsi="Times New Roman"/>
          <w:sz w:val="24"/>
          <w:szCs w:val="24"/>
        </w:rPr>
        <w:t xml:space="preserve">Milan uses strict screening (cloud below 20%, valid above 90%): 30 dates, from 23 March to 8 December 2018, with no date in January, February or May passing. Hanoi and HCMC use loose screening (cloud below 35%, valid above 80%): 4 dates for Hanoi and 3 for HCMC.</w:t>
      </w:r>
    </w:p>
    <w:p>
      <w:pPr>
        <w:spacing w:after="240" w:before="100"/>
      </w:pPr>
      <w:r>
        <w:rPr>
          <w:rFonts w:ascii="Times New Roman" w:cs="Times New Roman" w:eastAsia="Times New Roman" w:hAnsi="Times New Roman"/>
          <w:i/>
          <w:iCs/>
          <w:sz w:val="20"/>
          <w:szCs w:val="20"/>
        </w:rPr>
        <w:t xml:space="preserve">Table 2.1 — Sentinel-2 dates used for Milan in 2018. Bold dates form the stack composite (see below).</w:t>
      </w:r>
    </w:p>
    <w:tbl>
      <w:tblPr>
        <w:tblW w:type="pct" w:w="3000"/>
        <w:tblBorders>
          <w:top w:val="single" w:color="999999" w:sz="4"/>
          <w:left w:val="none"/>
          <w:bottom w:val="single" w:color="999999" w:sz="4"/>
          <w:right w:val="none"/>
          <w:insideH w:val="single" w:color="CCCCCC" w:sz="2"/>
          <w:insideV w:val="none"/>
        </w:tblBorders>
      </w:tblPr>
      <w:tblGrid>
        <w:gridCol w:w="1787"/>
        <w:gridCol w:w="1787"/>
        <w:gridCol w:w="1787"/>
      </w:tblGrid>
      <w:tr>
        <w:trPr>
          <w:tblHeader/>
        </w:trPr>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Date</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Cloud %</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Valid %</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2018-03-23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2018-04-17</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97.7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2018-04-22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2018-06-01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96.6</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2018-06-16</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1.5</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98.4</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2018-06-21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92.1</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2018-07-01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2018-07-06</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92.1</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2018-07-26</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93.9</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2018-07-31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98.6</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2018-08-05</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0.2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99.7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2018-08-10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90.7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2018-08-15</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2018-08-20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95.6</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2018-08-30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98.5</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2018-09-04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96.5</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2018-09-09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2018-09-14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2018-09-19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94.0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2018-09-24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92.6</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2018-09-29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99.7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2018-10-04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99.7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2018-10-09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93.7</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2018-10-14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99.2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2018-10-19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97.6</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2018-10-24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2018-11-18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2018-11-28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98.3</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2018-12-03</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96.5</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2018-12-08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bl>
    <w:p>
      <w:pPr>
        <w:spacing w:after="200"/>
      </w:pPr>
      <w:r>
        <w:rPr>
          <w:rFonts w:ascii="Times New Roman" w:cs="Times New Roman" w:eastAsia="Times New Roman" w:hAnsi="Times New Roman"/>
          <w:sz w:val="24"/>
          <w:szCs w:val="24"/>
        </w:rPr>
        <w:t xml:space="preserve"/>
      </w:r>
    </w:p>
    <w:p>
      <w:pPr>
        <w:spacing w:after="240" w:before="100"/>
      </w:pPr>
      <w:r>
        <w:rPr>
          <w:rFonts w:ascii="Times New Roman" w:cs="Times New Roman" w:eastAsia="Times New Roman" w:hAnsi="Times New Roman"/>
          <w:i/>
          <w:iCs/>
          <w:sz w:val="20"/>
          <w:szCs w:val="20"/>
        </w:rPr>
        <w:t xml:space="preserve">Table 2.2 — Sentinel-2 dates used for Hanoi and Ho Chi Minh City in 2018.</w:t>
      </w:r>
    </w:p>
    <w:p>
      <w:pPr>
        <w:spacing w:after="200"/>
      </w:pPr>
      <w:r>
        <w:rPr>
          <w:rFonts w:ascii="Times New Roman" w:cs="Times New Roman" w:eastAsia="Times New Roman" w:hAnsi="Times New Roman"/>
          <w:b/>
          <w:bCs/>
          <w:sz w:val="24"/>
          <w:szCs w:val="24"/>
        </w:rPr>
        <w:t xml:space="preserve">Hanoi</w:t>
      </w:r>
    </w:p>
    <w:tbl>
      <w:tblPr>
        <w:tblW w:type="pct" w:w="3000"/>
        <w:tblBorders>
          <w:top w:val="single" w:color="999999" w:sz="4"/>
          <w:left w:val="none"/>
          <w:bottom w:val="single" w:color="999999" w:sz="4"/>
          <w:right w:val="none"/>
          <w:insideH w:val="single" w:color="CCCCCC" w:sz="2"/>
          <w:insideV w:val="none"/>
        </w:tblBorders>
      </w:tblPr>
      <w:tblGrid>
        <w:gridCol w:w="1787"/>
        <w:gridCol w:w="1787"/>
        <w:gridCol w:w="1787"/>
      </w:tblGrid>
      <w:tr>
        <w:trPr>
          <w:tblHeader/>
        </w:trPr>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Date</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Cloud %</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Valid %</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2018-01-19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2018-03-10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16.8</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83.2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2018-10-31</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2018-12-20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98.3</w:t>
            </w:r>
          </w:p>
        </w:tc>
      </w:tr>
    </w:tbl>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b/>
          <w:bCs/>
          <w:sz w:val="24"/>
          <w:szCs w:val="24"/>
        </w:rPr>
        <w:t xml:space="preserve">Ho Chi Minh City</w:t>
      </w:r>
    </w:p>
    <w:tbl>
      <w:tblPr>
        <w:tblW w:type="pct" w:w="3000"/>
        <w:tblBorders>
          <w:top w:val="single" w:color="999999" w:sz="4"/>
          <w:left w:val="none"/>
          <w:bottom w:val="single" w:color="999999" w:sz="4"/>
          <w:right w:val="none"/>
          <w:insideH w:val="single" w:color="CCCCCC" w:sz="2"/>
          <w:insideV w:val="none"/>
        </w:tblBorders>
      </w:tblPr>
      <w:tblGrid>
        <w:gridCol w:w="1787"/>
        <w:gridCol w:w="1787"/>
        <w:gridCol w:w="1787"/>
      </w:tblGrid>
      <w:tr>
        <w:trPr>
          <w:tblHeader/>
        </w:trPr>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Date</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Cloud %</w:t>
            </w:r>
          </w:p>
        </w:tc>
        <w:tc>
          <w:tcPr>
            <w:tcW w:type="pct" w:w="1650"/>
            <w:shd w:fill="1A1A1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Valid %</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2018-02-12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2018-12-24</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16.7</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81.2</w:t>
            </w:r>
          </w:p>
        </w:tc>
      </w:tr>
      <w:tr>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2018-12-29</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14.2</w:t>
            </w:r>
          </w:p>
        </w:tc>
        <w:tc>
          <w:tcPr>
            <w:tcW w:type="pct" w:w="1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84.7</w:t>
            </w:r>
          </w:p>
        </w:tc>
      </w:tr>
    </w:tbl>
    <w:p>
      <w:pPr>
        <w:spacing w:after="200"/>
      </w:pPr>
      <w:r>
        <w:rPr>
          <w:rFonts w:ascii="Times New Roman" w:cs="Times New Roman" w:eastAsia="Times New Roman" w:hAnsi="Times New Roman"/>
          <w:sz w:val="24"/>
          <w:szCs w:val="24"/>
        </w:rPr>
        <w:t xml:space="preserve">From these dates, three composites are built for Milan; Hanoi and HCMC use the median composite only. For one pixel and one band, the 30 Milan dates give 30 reflectance values. The three composites differ in how many of these values they keep:</w:t>
      </w:r>
    </w:p>
    <w:p>
      <w:pPr>
        <w:spacing w:after="200"/>
      </w:pPr>
      <w:r>
        <w:rPr>
          <w:rFonts w:ascii="Times New Roman" w:cs="Times New Roman" w:eastAsia="Times New Roman" w:hAnsi="Times New Roman"/>
          <w:b/>
          <w:bCs/>
          <w:sz w:val="24"/>
          <w:szCs w:val="24"/>
        </w:rPr>
        <w:t xml:space="preserve">Median </w:t>
      </w:r>
      <w:r>
        <w:rPr>
          <w:rFonts w:ascii="Times New Roman" w:cs="Times New Roman" w:eastAsia="Times New Roman" w:hAnsi="Times New Roman"/>
          <w:sz w:val="24"/>
          <w:szCs w:val="24"/>
        </w:rPr>
        <w:t xml:space="preserve">keeps one value: the middle one of the 30. With one value for each of the 10 bands, it has 10 bands. It is simple and robust, but it hides how the pixel changes through the year.</w:t>
      </w:r>
    </w:p>
    <w:p>
      <w:pPr>
        <w:spacing w:after="200"/>
      </w:pPr>
      <w:r>
        <w:rPr>
          <w:rFonts w:ascii="Times New Roman" w:cs="Times New Roman" w:eastAsia="Times New Roman" w:hAnsi="Times New Roman"/>
          <w:b/>
          <w:bCs/>
          <w:sz w:val="24"/>
          <w:szCs w:val="24"/>
        </w:rPr>
        <w:t xml:space="preserve">Percentile </w:t>
      </w:r>
      <w:r>
        <w:rPr>
          <w:rFonts w:ascii="Times New Roman" w:cs="Times New Roman" w:eastAsia="Times New Roman" w:hAnsi="Times New Roman"/>
          <w:sz w:val="24"/>
          <w:szCs w:val="24"/>
        </w:rPr>
        <w:t xml:space="preserve">keeps five values that describe the spread of the 30: the 10th, 25th, 50th, 75th and 90th percentiles (p10 to p90). A pixel that looks the same all year gets five close values; a pixel that changes gets widely spread ones. Five values for each of the 10 bands give 50 bands.</w:t>
      </w:r>
    </w:p>
    <w:p>
      <w:pPr>
        <w:spacing w:after="200"/>
      </w:pPr>
      <w:r>
        <w:rPr>
          <w:rFonts w:ascii="Times New Roman" w:cs="Times New Roman" w:eastAsia="Times New Roman" w:hAnsi="Times New Roman"/>
          <w:b/>
          <w:bCs/>
          <w:sz w:val="24"/>
          <w:szCs w:val="24"/>
        </w:rPr>
        <w:t xml:space="preserve">Stack </w:t>
      </w:r>
      <w:r>
        <w:rPr>
          <w:rFonts w:ascii="Times New Roman" w:cs="Times New Roman" w:eastAsia="Times New Roman" w:hAnsi="Times New Roman"/>
          <w:sz w:val="24"/>
          <w:szCs w:val="24"/>
        </w:rPr>
        <w:t xml:space="preserve">keeps four whole dates as they are, with no combining: four near cloud-free dates spread from March to October (bold in Table 2.1). The model sees the same pixel at four moments of the year. Four dates of 10 bands give 40 bands.</w:t>
      </w:r>
    </w:p>
    <w:p>
      <w:pPr>
        <w:spacing w:after="240" w:before="100"/>
      </w:pPr>
      <w:r>
        <w:rPr>
          <w:rFonts w:ascii="Times New Roman" w:cs="Times New Roman" w:eastAsia="Times New Roman" w:hAnsi="Times New Roman"/>
          <w:i/>
          <w:iCs/>
          <w:sz w:val="20"/>
          <w:szCs w:val="20"/>
        </w:rPr>
        <w:t xml:space="preserve">[Figure: one pixel's 30 values across the 30 Milan dates, with the median and percentile composite values marked. Reuse report/figs/deck/fig14_one_pixel_box.png.]</w:t>
      </w:r>
    </w:p>
    <w:p>
      <w:pPr>
        <w:pStyle w:val="Heading2"/>
        <w:spacing w:after="120" w:before="240"/>
      </w:pPr>
      <w:r>
        <w:rPr>
          <w:rFonts w:ascii="Times New Roman" w:cs="Times New Roman" w:eastAsia="Times New Roman" w:hAnsi="Times New Roman"/>
        </w:rPr>
        <w:t xml:space="preserve">2.5 AlphaEarth embeddings</w:t>
      </w:r>
    </w:p>
    <w:p>
      <w:pPr>
        <w:spacing w:after="200"/>
      </w:pPr>
      <w:r>
        <w:rPr>
          <w:rFonts w:ascii="Times New Roman" w:cs="Times New Roman" w:eastAsia="Times New Roman" w:hAnsi="Times New Roman"/>
          <w:sz w:val="24"/>
          <w:szCs w:val="24"/>
        </w:rPr>
        <w:t xml:space="preserve">The AlphaEarth Foundations embedding (Brown et al., 2025) is a 64-dimensional vector that encodes a full year of Sentinel-2, Sentinel-1, Landsat and other Earth observation data for each 10 m pixel. The annual 2018 layer (GOOGLE/SATELLITE_EMBEDDING/V1/ANNUAL) is used directly as the 64 input bands, in place of individually chosen satellite bands and without any local compositing choice.</w:t>
      </w:r>
    </w:p>
    <w:p>
      <w:pPr>
        <w:spacing w:after="240" w:before="100"/>
      </w:pPr>
      <w:r>
        <w:rPr>
          <w:rFonts w:ascii="Times New Roman" w:cs="Times New Roman" w:eastAsia="Times New Roman" w:hAnsi="Times New Roman"/>
          <w:i/>
          <w:iCs/>
          <w:sz w:val="20"/>
          <w:szCs w:val="20"/>
        </w:rPr>
        <w:t xml:space="preserve">[Figure: schematic of the AlphaEarth embedding field — each pixel carries 64 embedding axes. Credit: Google DeepMind, AlphaEarth Foundations blog post. Reuse report/figs/deck/embeddings.png.]</w:t>
      </w:r>
    </w:p>
    <w:p>
      <w:pPr>
        <w:pStyle w:val="Heading2"/>
        <w:spacing w:after="120" w:before="240"/>
      </w:pPr>
      <w:r>
        <w:rPr>
          <w:rFonts w:ascii="Times New Roman" w:cs="Times New Roman" w:eastAsia="Times New Roman" w:hAnsi="Times New Roman"/>
        </w:rPr>
        <w:t xml:space="preserve">2.6 EarthLabel independent reference dataset</w:t>
      </w:r>
    </w:p>
    <w:p>
      <w:pPr>
        <w:spacing w:after="200"/>
      </w:pPr>
      <w:r>
        <w:rPr>
          <w:rFonts w:ascii="Times New Roman" w:cs="Times New Roman" w:eastAsia="Times New Roman" w:hAnsi="Times New Roman"/>
          <w:sz w:val="24"/>
          <w:szCs w:val="24"/>
        </w:rPr>
        <w:t xml:space="preserve">Every map is validated against an independent reference: 450 EarthLabel plots per city, 1,350 in total across Milan, Hanoi and HCMC, photo-interpreted with the EarthLabel annotation tool (https://github.com/tanxiaoo/earth-label). No model sees these plots during training. Each plot is a 10 m by 10 m square that coincides exactly with one pixel of the predicted maps, so every plot can be compared directly with one map value. Each plot is subdivided into nine sub-cells, and each sub-cell is photo-interpreted as impervious or pervious; the plot value is the share of impervious sub-cells — two impervious sub-cells out of nine give a plot value of 22.2%.</w:t>
      </w:r>
    </w:p>
    <w:p>
      <w:pPr>
        <w:spacing w:after="200"/>
      </w:pPr>
      <w:r>
        <w:rPr>
          <w:rFonts w:ascii="Times New Roman" w:cs="Times New Roman" w:eastAsia="Times New Roman" w:hAnsi="Times New Roman"/>
          <w:sz w:val="24"/>
          <w:szCs w:val="24"/>
        </w:rPr>
        <w:t xml:space="preserve">How these plots are used — the three validation techniques and their metrics — is described in the Methodology section, not here: this section covers what the dataset is, not how it is analysed.</w:t>
      </w:r>
    </w:p>
    <w:p>
      <w:pPr>
        <w:spacing w:after="240" w:before="100"/>
      </w:pPr>
      <w:r>
        <w:rPr>
          <w:rFonts w:ascii="Times New Roman" w:cs="Times New Roman" w:eastAsia="Times New Roman" w:hAnsi="Times New Roman"/>
          <w:i/>
          <w:iCs/>
          <w:sz w:val="20"/>
          <w:szCs w:val="20"/>
        </w:rPr>
        <w:t xml:space="preserve">[Figure: one EarthLabel plot, showing its nine sub-cells and the resulting plot value. Reuse report/figs/deck/fig_earthlabel_plot.png.]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2026-10-05T14:40:53.257Z</dcterms:created>
  <dcterms:modified xsi:type="dcterms:W3CDTF">2026-10-05T14:40:53.258Z</dcterms:modified>
</cp:coreProperties>
</file>

<file path=docProps/custom.xml><?xml version="1.0" encoding="utf-8"?>
<Properties xmlns="http://schemas.openxmlformats.org/officeDocument/2006/custom-properties" xmlns:vt="http://schemas.openxmlformats.org/officeDocument/2006/docPropsVTypes"/>
</file>