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480"/>
        <w:jc w:val="center"/>
      </w:pPr>
      <w:r>
        <w:rPr>
          <w:rFonts w:ascii="Times New Roman" w:hAnsi="Times New Roman" w:eastAsia="宋体"/>
          <w:b/>
          <w:i w:val="0"/>
          <w:sz w:val="40"/>
        </w:rPr>
        <w:t>多无人机 OTFS 通感一体化系统中的共享目标状态失配与交叉拟合校正</w:t>
      </w:r>
    </w:p>
    <w:p>
      <w:pPr>
        <w:jc w:val="center"/>
      </w:pPr>
      <w:r>
        <w:rPr>
          <w:rFonts w:ascii="Times New Roman" w:hAnsi="Times New Roman" w:eastAsia="宋体"/>
          <w:b/>
          <w:i w:val="0"/>
          <w:sz w:val="32"/>
        </w:rPr>
        <w:t>硕士学位论文阶段研究报告</w:t>
      </w:r>
    </w:p>
    <w:p>
      <w:pPr>
        <w:spacing w:after="1920"/>
      </w:pPr>
    </w:p>
    <w:tbl>
      <w:tblPr>
        <w:tblStyle w:val="TableGrid"/>
        <w:tblW w:type="auto" w:w="0"/>
        <w:jc w:val="center"/>
        <w:tblLayout w:type="fixed"/>
        <w:tblLook w:firstColumn="1" w:firstRow="1" w:lastColumn="0" w:lastRow="0" w:noHBand="0" w:noVBand="1" w:val="04A0"/>
      </w:tblPr>
      <w:tblGrid>
        <w:gridCol w:w="4394"/>
        <w:gridCol w:w="4394"/>
      </w:tblGrid>
      <w:tr>
        <w:trPr>
          <w:cantSplit/>
        </w:trPr>
        <w:tc>
          <w:tcPr>
            <w:tcW w:type="dxa" w:w="1984"/>
            <w:shd w:fill="D9E2F3"/>
            <w:vAlign w:val="center"/>
            <w:tcMar>
              <w:top w:w="70" w:type="dxa"/>
              <w:start w:w="90" w:type="dxa"/>
              <w:bottom w:w="70" w:type="dxa"/>
              <w:end w:w="90" w:type="dxa"/>
            </w:tcMar>
          </w:tcPr>
          <w:p>
            <w:pPr>
              <w:jc w:val="center"/>
            </w:pPr>
            <w:r>
              <w:rPr>
                <w:rFonts w:ascii="Times New Roman" w:hAnsi="Times New Roman" w:eastAsia="宋体"/>
                <w:b/>
                <w:i w:val="0"/>
                <w:sz w:val="24"/>
              </w:rPr>
              <w:t>项目</w:t>
            </w:r>
          </w:p>
        </w:tc>
        <w:tc>
          <w:tcPr>
            <w:tcW w:type="dxa" w:w="5953"/>
            <w:shd w:fill="D9E2F3"/>
            <w:vAlign w:val="center"/>
            <w:tcMar>
              <w:top w:w="70" w:type="dxa"/>
              <w:start w:w="90" w:type="dxa"/>
              <w:bottom w:w="70" w:type="dxa"/>
              <w:end w:w="90" w:type="dxa"/>
            </w:tcMar>
          </w:tcPr>
          <w:p>
            <w:pPr>
              <w:jc w:val="center"/>
            </w:pPr>
            <w:r>
              <w:rPr>
                <w:rFonts w:ascii="Times New Roman" w:hAnsi="Times New Roman" w:eastAsia="宋体"/>
                <w:b/>
                <w:i w:val="0"/>
                <w:sz w:val="24"/>
              </w:rPr>
              <w:t>内容</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研究对象</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6 架 UAV 协同感知 3 个运动目标</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核心问题</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共享目标状态偏差引起的多节点检测失配及其数据隔离校正</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报告版本</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阶段稿 2026 年 9 月</w:t>
            </w:r>
          </w:p>
        </w:tc>
      </w:tr>
    </w:tbl>
    <w:p>
      <w:pPr>
        <w:spacing w:after="0"/>
      </w:pPr>
    </w:p>
    <w:p>
      <w:r>
        <w:br w:type="page"/>
      </w:r>
    </w:p>
    <w:p>
      <w:pPr>
        <w:pStyle w:val="Heading1"/>
        <w:keepNext/>
        <w:spacing w:before="240" w:after="120"/>
      </w:pPr>
      <w:r>
        <w:rPr>
          <w:rFonts w:ascii="Times New Roman" w:hAnsi="Times New Roman" w:eastAsia="宋体"/>
          <w:b/>
          <w:i w:val="0"/>
          <w:sz w:val="32"/>
        </w:rPr>
        <w:t>摘要</w:t>
      </w:r>
    </w:p>
    <w:p>
      <w:pPr>
        <w:spacing w:before="0" w:after="0" w:line="360" w:lineRule="auto"/>
        <w:ind w:firstLine="420"/>
        <w:jc w:val="both"/>
      </w:pPr>
      <w:r>
        <w:rPr>
          <w:rFonts w:ascii="Times New Roman" w:hAnsi="Times New Roman" w:eastAsia="宋体"/>
          <w:b w:val="0"/>
          <w:i w:val="0"/>
          <w:sz w:val="24"/>
        </w:rPr>
        <w:t>本报告围绕多无人机正交时频空间通感一体化系统中的共享目标状态失配展开。现有系统在 6 架无人机协同探测 3 个运动目标时曾出现最差检测概率约为 0.2 的异常结果。审计表明，该现象的主要原因不是节点数量不足、通信报告预算或直达径干扰消除失效，而是所有接收机共同使用了严重偏移的目标状态字典。公共模型偏差会同时削弱各节点的匹配滤波证据，因此增加节点只能降低随机波动，不能自动恢复被错误字典丢失的信息。</w:t>
      </w:r>
    </w:p>
    <w:p>
      <w:pPr>
        <w:spacing w:before="0" w:after="0" w:line="360" w:lineRule="auto"/>
        <w:ind w:firstLine="420"/>
        <w:jc w:val="both"/>
      </w:pPr>
      <w:r>
        <w:rPr>
          <w:rFonts w:ascii="Times New Roman" w:hAnsi="Times New Roman" w:eastAsia="宋体"/>
          <w:b w:val="0"/>
          <w:i w:val="0"/>
          <w:sz w:val="24"/>
        </w:rPr>
        <w:t>本文将研究收缩为两个递进问题。问题 1 建立共享状态失配下的多节点 OTFS 感知模型，并用字典子空间信息保留率解释检测性能退化。问题 2 在相邻短时相干处理区间内，将状态估计数据与检测数据分离，构建共享偏移的交叉拟合最大后验校正方法。首轮 12 场景机制实验显示，在位置先验标准差为 150 m 时，六节点信息保留率随归一化误差由 0 降至 2.67，从 1.000 降至 0.039；节点数从 1 增至 6 并未提高平均保留率。既有 150 m 探索性检测实验中，共享交叉拟合相对名义字典的 AUC 提高 0.0725、检测概率提高 0.15，但置信区间和旧几何约束决定了该结果仍需在 20 m 最短节点间距下复验。</w:t>
      </w:r>
    </w:p>
    <w:p>
      <w:pPr>
        <w:spacing w:before="0" w:after="0" w:line="360" w:lineRule="auto"/>
        <w:ind w:firstLine="420"/>
        <w:jc w:val="both"/>
      </w:pPr>
      <w:r>
        <w:rPr>
          <w:rFonts w:ascii="Times New Roman" w:hAnsi="Times New Roman" w:eastAsia="宋体"/>
          <w:b w:val="0"/>
          <w:i w:val="0"/>
          <w:sz w:val="24"/>
        </w:rPr>
        <w:t>本阶段的结论是：研究主线应从队形或干扰消除的泛化优化，收缩为共享状态失配的机制解释与低偏差校正。OTFS 在本文中的意义来自运动目标产生的时延与多普勒联合表征；场景采用短时块静态位置和非零速度，而不是完全静止目标。后续实验将按机制验证、单目标检测曲线、多目标泛化和队形扩展的顺序推进。</w:t>
      </w:r>
    </w:p>
    <w:p>
      <w:r>
        <w:rPr>
          <w:rFonts w:ascii="Times New Roman" w:hAnsi="Times New Roman" w:eastAsia="宋体"/>
          <w:b/>
          <w:i w:val="0"/>
          <w:sz w:val="24"/>
        </w:rPr>
        <w:t>关键词：</w:t>
      </w:r>
      <w:r>
        <w:rPr>
          <w:rFonts w:ascii="Times New Roman" w:hAnsi="Times New Roman" w:eastAsia="宋体"/>
          <w:b w:val="0"/>
          <w:i w:val="0"/>
          <w:sz w:val="24"/>
        </w:rPr>
        <w:t>OTFS；通感一体化；多无人机协同感知；共享状态失配；交叉拟合；目标检测</w:t>
      </w:r>
    </w:p>
    <w:p>
      <w:pPr>
        <w:pStyle w:val="Heading1"/>
        <w:keepNext/>
        <w:spacing w:before="240" w:after="120"/>
      </w:pPr>
      <w:r>
        <w:rPr>
          <w:rFonts w:ascii="Times New Roman" w:hAnsi="Times New Roman" w:eastAsia="宋体"/>
          <w:b/>
          <w:i w:val="0"/>
          <w:sz w:val="32"/>
        </w:rPr>
        <w:t>术语与证据口径</w:t>
      </w:r>
    </w:p>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规范术语</w:t>
            </w:r>
          </w:p>
        </w:tc>
        <w:tc>
          <w:tcPr>
            <w:tcW w:type="dxa" w:w="4082"/>
            <w:shd w:fill="D9E2F3"/>
            <w:vAlign w:val="center"/>
            <w:tcMar>
              <w:top w:w="70" w:type="dxa"/>
              <w:start w:w="90" w:type="dxa"/>
              <w:bottom w:w="70" w:type="dxa"/>
              <w:end w:w="90" w:type="dxa"/>
            </w:tcMar>
          </w:tcPr>
          <w:p>
            <w:pPr>
              <w:jc w:val="center"/>
            </w:pPr>
            <w:r>
              <w:rPr>
                <w:rFonts w:ascii="Times New Roman" w:hAnsi="Times New Roman" w:eastAsia="宋体"/>
                <w:b/>
                <w:i w:val="0"/>
                <w:sz w:val="24"/>
              </w:rPr>
              <w:t>本文定义</w:t>
            </w:r>
          </w:p>
        </w:tc>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使用规则</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共享目标状态失配</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多个接收机共同使用同一偏移目标状态构造字典</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不写成独立测量噪声</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名义方法 nominal</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不更新先验状态，直接检测</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正式基线</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共享交叉拟合 shared cross fit</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一折估状态，另一折检测，再交换</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拟议方法</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oracle</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使用真值状态构造字典</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仅作性能上界</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归一化误差 r</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r 等于位置偏差范数除以先验标准差</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跨场景主横轴</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信息保留率 eta</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真值字典在信念字典子空间内的能量比例</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机制指标，不等同于检测概率</w:t>
            </w:r>
          </w:p>
        </w:tc>
      </w:tr>
    </w:tbl>
    <w:p>
      <w:pPr>
        <w:spacing w:after="0"/>
      </w:pPr>
    </w:p>
    <w:p>
      <w:pPr>
        <w:pStyle w:val="Heading1"/>
        <w:keepNext/>
        <w:spacing w:before="240" w:after="120"/>
      </w:pPr>
      <w:r>
        <w:rPr>
          <w:rFonts w:ascii="Times New Roman" w:hAnsi="Times New Roman" w:eastAsia="宋体"/>
          <w:b/>
          <w:i w:val="0"/>
          <w:sz w:val="32"/>
        </w:rPr>
        <w:t>1 研究背景及意义</w:t>
      </w:r>
    </w:p>
    <w:p>
      <w:pPr>
        <w:spacing w:before="0" w:after="0" w:line="360" w:lineRule="auto"/>
        <w:ind w:firstLine="420"/>
        <w:jc w:val="both"/>
      </w:pPr>
      <w:r>
        <w:rPr>
          <w:rFonts w:ascii="Times New Roman" w:hAnsi="Times New Roman" w:eastAsia="宋体"/>
          <w:b w:val="0"/>
          <w:i w:val="0"/>
          <w:sz w:val="24"/>
        </w:rPr>
        <w:t>通感一体化通过共享频谱、波形与硬件，使通信节点同时获得环境与目标信息，是 6G 网络的重要研究方向。无人机平台具有视距链路比例高、几何位置可控和部署灵活等特点，适合构成分布式或网络化感知系统。然而，多节点带来的空间分集只有在接收处理模型正确时才能转化为检测增益。若所有节点共同使用偏移的目标位置、速度或时延多普勒参数，融合器累加的是多份共同失配的弱证据。</w:t>
      </w:r>
    </w:p>
    <w:p>
      <w:pPr>
        <w:spacing w:before="0" w:after="0" w:line="360" w:lineRule="auto"/>
        <w:ind w:firstLine="420"/>
        <w:jc w:val="both"/>
      </w:pPr>
      <w:r>
        <w:rPr>
          <w:rFonts w:ascii="Times New Roman" w:hAnsi="Times New Roman" w:eastAsia="宋体"/>
          <w:b w:val="0"/>
          <w:i w:val="0"/>
          <w:sz w:val="24"/>
        </w:rPr>
        <w:t>OTFS 将信号映射到时延多普勒域，适合表征高动态双选信道，也便于从回波中联合提取距离和径向速度。本文不把 OTFS 当作静态场景中的装饰性波形。研究场景限定为短时间窗内位置近似不变、速度非零的运动目标；在一个相干处理区间内采用块静态几何，在相邻区间之间保留状态演化。该设定既保留 OTFS 对多普勒维的意义，也避免把长时间轨迹跟踪与单次检测混在同一个问题中。</w:t>
      </w:r>
    </w:p>
    <w:p>
      <w:pPr>
        <w:spacing w:before="0" w:after="0" w:line="360" w:lineRule="auto"/>
        <w:ind w:firstLine="420"/>
        <w:jc w:val="both"/>
      </w:pPr>
      <w:r>
        <w:rPr>
          <w:rFonts w:ascii="Times New Roman" w:hAnsi="Times New Roman" w:eastAsia="宋体"/>
          <w:b w:val="0"/>
          <w:i w:val="0"/>
          <w:sz w:val="24"/>
        </w:rPr>
        <w:t>本研究的学术价值在于区分独立观测噪声与公共模型偏差。传统协同感知强调节点数量、空间分集和融合规则，容易默认误差可通过平均减小。本文关注一种更严格的情形：多个节点的观测噪声相互独立，但目标字典误差由同一共享状态产生。对该机制进行建模与验证，可以给出多节点增益何时失效、状态校正何时必要以及校正结果如何避免自拟合偏差的可检验条件。</w:t>
      </w:r>
    </w:p>
    <w:p>
      <w:pPr>
        <w:pStyle w:val="Heading1"/>
        <w:keepNext/>
        <w:spacing w:before="240" w:after="120"/>
      </w:pPr>
      <w:r>
        <w:rPr>
          <w:rFonts w:ascii="Times New Roman" w:hAnsi="Times New Roman" w:eastAsia="宋体"/>
          <w:b/>
          <w:i w:val="0"/>
          <w:sz w:val="32"/>
        </w:rPr>
        <w:t>2 国内外研究综述</w:t>
      </w:r>
    </w:p>
    <w:p>
      <w:pPr>
        <w:pStyle w:val="Heading2"/>
        <w:keepNext/>
        <w:spacing w:before="160" w:after="120"/>
      </w:pPr>
      <w:r>
        <w:rPr>
          <w:rFonts w:ascii="Times New Roman" w:hAnsi="Times New Roman" w:eastAsia="宋体"/>
          <w:b/>
          <w:i w:val="0"/>
          <w:sz w:val="28"/>
        </w:rPr>
        <w:t>2.1 OTFS 与通感一体化</w:t>
      </w:r>
    </w:p>
    <w:p>
      <w:pPr>
        <w:spacing w:before="0" w:after="0" w:line="360" w:lineRule="auto"/>
        <w:ind w:firstLine="420"/>
        <w:jc w:val="both"/>
      </w:pPr>
      <w:r>
        <w:rPr>
          <w:rFonts w:ascii="Times New Roman" w:hAnsi="Times New Roman" w:eastAsia="宋体"/>
          <w:b w:val="0"/>
          <w:i w:val="0"/>
          <w:sz w:val="24"/>
        </w:rPr>
        <w:t>Gaudio 等建立了 OTFS 联合雷达参数估计与通信模型，给出距离和速度的近似最大似然估计及 Cramér Rao 下界，说明 OTFS 可在保持通信信息率的同时获得接近专用雷达波形的参数估计性能。随后研究逐步扩展到 MIMO OTFS、UAV 网络和多目标参数估计。现有工作主要关注波形、信道估计和网格外参数恢复，其共同前提通常是参数搜索能够覆盖真实目标或初始状态误差处于可处理范围。</w:t>
      </w:r>
    </w:p>
    <w:p>
      <w:pPr>
        <w:spacing w:before="0" w:after="0" w:line="360" w:lineRule="auto"/>
        <w:ind w:firstLine="420"/>
        <w:jc w:val="both"/>
      </w:pPr>
      <w:r>
        <w:rPr>
          <w:rFonts w:ascii="Times New Roman" w:hAnsi="Times New Roman" w:eastAsia="宋体"/>
          <w:b w:val="0"/>
          <w:i w:val="0"/>
          <w:sz w:val="24"/>
        </w:rPr>
        <w:t>国内研究已覆盖 OTFS 低空多目标探测、DD 域波形设计、网格外信道估计和多无人机部署优化。相关成果表明，国内研究正在从单链路参数估计转向低空网络化感知。现有工作较少单独讨论所有节点共享同一错误目标状态时的检测统计量失配，也较少把状态估计与最终检测进行严格的数据隔离。该缺口构成本文的切入点。</w:t>
      </w:r>
    </w:p>
    <w:p>
      <w:pPr>
        <w:pStyle w:val="Heading2"/>
        <w:keepNext/>
        <w:spacing w:before="160" w:after="120"/>
      </w:pPr>
      <w:r>
        <w:rPr>
          <w:rFonts w:ascii="Times New Roman" w:hAnsi="Times New Roman" w:eastAsia="宋体"/>
          <w:b/>
          <w:i w:val="0"/>
          <w:sz w:val="28"/>
        </w:rPr>
        <w:t>2.2 多节点协同感知</w:t>
      </w:r>
    </w:p>
    <w:p>
      <w:pPr>
        <w:spacing w:before="0" w:after="0" w:line="360" w:lineRule="auto"/>
        <w:ind w:firstLine="420"/>
        <w:jc w:val="both"/>
      </w:pPr>
      <w:r>
        <w:rPr>
          <w:rFonts w:ascii="Times New Roman" w:hAnsi="Times New Roman" w:eastAsia="宋体"/>
          <w:b w:val="0"/>
          <w:i w:val="0"/>
          <w:sz w:val="24"/>
        </w:rPr>
        <w:t>分布式 MIMO 雷达利用不同视角下的目标散射差异获得空间分集。相关理论说明，增加发射和接收节点可改善检测与定位，但收益依赖同步、几何、融合方式和统计模型。该类工作解释了多视角为什么可能有效，却不能推出公共字典偏差能够被节点数平均消除。本文因此把节点观测噪声和共享状态误差分开建模。</w:t>
      </w:r>
    </w:p>
    <w:p>
      <w:pPr>
        <w:pStyle w:val="Heading2"/>
        <w:keepNext/>
        <w:spacing w:before="160" w:after="120"/>
      </w:pPr>
      <w:r>
        <w:rPr>
          <w:rFonts w:ascii="Times New Roman" w:hAnsi="Times New Roman" w:eastAsia="宋体"/>
          <w:b/>
          <w:i w:val="0"/>
          <w:sz w:val="28"/>
        </w:rPr>
        <w:t>2.3 模型失配与交叉拟合</w:t>
      </w:r>
    </w:p>
    <w:p>
      <w:pPr>
        <w:spacing w:before="0" w:after="0" w:line="360" w:lineRule="auto"/>
        <w:ind w:firstLine="420"/>
        <w:jc w:val="both"/>
      </w:pPr>
      <w:r>
        <w:rPr>
          <w:rFonts w:ascii="Times New Roman" w:hAnsi="Times New Roman" w:eastAsia="宋体"/>
          <w:b w:val="0"/>
          <w:i w:val="0"/>
          <w:sz w:val="24"/>
        </w:rPr>
        <w:t>稳健检测研究通常通过不确定集合、协方差膨胀或广义似然比处理失配。本文采用另一条思路：先从多节点数据估计低维共享偏移，再更新接收机可知字典。若同一数据既用于挑选偏移又用于检测，最大化过程会抬高零假设统计量。交叉拟合在统计学习中通过样本分割降低这种重复使用数据造成的偏差。本文借用其数据隔离原则，但不直接继承双重机器学习的渐近结论；雷达检测门限仍需独立标定。</w:t>
      </w:r>
    </w:p>
    <w:p>
      <w:pPr>
        <w:pStyle w:val="Heading2"/>
        <w:keepNext/>
        <w:spacing w:before="160" w:after="120"/>
      </w:pPr>
      <w:r>
        <w:rPr>
          <w:rFonts w:ascii="Times New Roman" w:hAnsi="Times New Roman" w:eastAsia="宋体"/>
          <w:b/>
          <w:i w:val="0"/>
          <w:sz w:val="28"/>
        </w:rPr>
        <w:t>2.4 综述结论</w:t>
      </w:r>
    </w:p>
    <w:p>
      <w:pPr>
        <w:spacing w:before="0" w:after="0" w:line="360" w:lineRule="auto"/>
        <w:ind w:firstLine="420"/>
        <w:jc w:val="both"/>
      </w:pPr>
      <w:r>
        <w:rPr>
          <w:rFonts w:ascii="Times New Roman" w:hAnsi="Times New Roman" w:eastAsia="宋体"/>
          <w:b w:val="0"/>
          <w:i w:val="0"/>
          <w:sz w:val="24"/>
        </w:rPr>
        <w:t>现有研究分别提供了 OTFS 时延多普勒表征、多节点空间分集和数据分割去偏的基础。尚缺少一个面向多无人机 OTFS 感知的统一问题：公共目标状态偏差如何限制融合收益，以及如何在不使用真值、不污染检测统计量的条件下利用节点共享信息校正该偏差。本文的两个问题依次回答这两个环节。</w:t>
      </w:r>
    </w:p>
    <w:p>
      <w:pPr>
        <w:pStyle w:val="Heading1"/>
        <w:keepNext/>
        <w:spacing w:before="240" w:after="120"/>
      </w:pPr>
      <w:r>
        <w:rPr>
          <w:rFonts w:ascii="Times New Roman" w:hAnsi="Times New Roman" w:eastAsia="宋体"/>
          <w:b/>
          <w:i w:val="0"/>
          <w:sz w:val="32"/>
        </w:rPr>
        <w:t>3 本文的主要解决问题和主要框架</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主线：共享状态失配机理 → 数据隔离的共享状态校正 → 检测性能恢复。队形设计仅在主线成立后作为泛化实验。</w:t>
            </w:r>
          </w:p>
        </w:tc>
      </w:tr>
    </w:tbl>
    <w:p>
      <w:pPr>
        <w:pStyle w:val="Heading2"/>
        <w:keepNext/>
        <w:spacing w:before="160" w:after="120"/>
      </w:pPr>
      <w:r>
        <w:rPr>
          <w:rFonts w:ascii="Times New Roman" w:hAnsi="Times New Roman" w:eastAsia="宋体"/>
          <w:b/>
          <w:i w:val="0"/>
          <w:sz w:val="28"/>
        </w:rPr>
        <w:t>3.1 研究问题</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134"/>
            <w:shd w:fill="D9E2F3"/>
            <w:vAlign w:val="center"/>
            <w:tcMar>
              <w:top w:w="70" w:type="dxa"/>
              <w:start w:w="90" w:type="dxa"/>
              <w:bottom w:w="70" w:type="dxa"/>
              <w:end w:w="90" w:type="dxa"/>
            </w:tcMar>
          </w:tcPr>
          <w:p>
            <w:pPr>
              <w:jc w:val="center"/>
            </w:pPr>
            <w:r>
              <w:rPr>
                <w:rFonts w:ascii="Times New Roman" w:hAnsi="Times New Roman" w:eastAsia="宋体"/>
                <w:b/>
                <w:i w:val="0"/>
                <w:sz w:val="24"/>
              </w:rPr>
              <w:t>问题</w:t>
            </w:r>
          </w:p>
        </w:tc>
        <w:tc>
          <w:tcPr>
            <w:tcW w:type="dxa" w:w="2948"/>
            <w:shd w:fill="D9E2F3"/>
            <w:vAlign w:val="center"/>
            <w:tcMar>
              <w:top w:w="70" w:type="dxa"/>
              <w:start w:w="90" w:type="dxa"/>
              <w:bottom w:w="70" w:type="dxa"/>
              <w:end w:w="90" w:type="dxa"/>
            </w:tcMar>
          </w:tcPr>
          <w:p>
            <w:pPr>
              <w:jc w:val="center"/>
            </w:pPr>
            <w:r>
              <w:rPr>
                <w:rFonts w:ascii="Times New Roman" w:hAnsi="Times New Roman" w:eastAsia="宋体"/>
                <w:b/>
                <w:i w:val="0"/>
                <w:sz w:val="24"/>
              </w:rPr>
              <w:t>核心问题</w:t>
            </w:r>
          </w:p>
        </w:tc>
        <w:tc>
          <w:tcPr>
            <w:tcW w:type="dxa" w:w="2381"/>
            <w:shd w:fill="D9E2F3"/>
            <w:vAlign w:val="center"/>
            <w:tcMar>
              <w:top w:w="70" w:type="dxa"/>
              <w:start w:w="90" w:type="dxa"/>
              <w:bottom w:w="70" w:type="dxa"/>
              <w:end w:w="90" w:type="dxa"/>
            </w:tcMar>
          </w:tcPr>
          <w:p>
            <w:pPr>
              <w:jc w:val="center"/>
            </w:pPr>
            <w:r>
              <w:rPr>
                <w:rFonts w:ascii="Times New Roman" w:hAnsi="Times New Roman" w:eastAsia="宋体"/>
                <w:b/>
                <w:i w:val="0"/>
                <w:sz w:val="24"/>
              </w:rPr>
              <w:t>主要输出</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当前状态</w:t>
            </w:r>
          </w:p>
        </w:tc>
      </w:tr>
      <w:tr>
        <w:trPr>
          <w:cantSplit/>
        </w:trPr>
        <w:tc>
          <w:tcPr>
            <w:tcW w:type="dxa" w:w="1134"/>
            <w:vAlign w:val="center"/>
            <w:tcMar>
              <w:top w:w="70" w:type="dxa"/>
              <w:start w:w="90" w:type="dxa"/>
              <w:bottom w:w="70" w:type="dxa"/>
              <w:end w:w="90" w:type="dxa"/>
            </w:tcMar>
          </w:tcPr>
          <w:p>
            <w:pPr>
              <w:jc w:val="left"/>
            </w:pPr>
            <w:r>
              <w:rPr>
                <w:rFonts w:ascii="Times New Roman" w:hAnsi="Times New Roman" w:eastAsia="宋体"/>
                <w:b w:val="0"/>
                <w:i w:val="0"/>
                <w:sz w:val="24"/>
              </w:rPr>
              <w:t>问题 1</w:t>
            </w:r>
          </w:p>
        </w:tc>
        <w:tc>
          <w:tcPr>
            <w:tcW w:type="dxa" w:w="2948"/>
            <w:vAlign w:val="center"/>
            <w:tcMar>
              <w:top w:w="70" w:type="dxa"/>
              <w:start w:w="90" w:type="dxa"/>
              <w:bottom w:w="70" w:type="dxa"/>
              <w:end w:w="90" w:type="dxa"/>
            </w:tcMar>
          </w:tcPr>
          <w:p>
            <w:pPr>
              <w:jc w:val="center"/>
            </w:pPr>
            <w:r>
              <w:rPr>
                <w:rFonts w:ascii="Times New Roman" w:hAnsi="Times New Roman" w:eastAsia="宋体"/>
                <w:b w:val="0"/>
                <w:i w:val="0"/>
                <w:sz w:val="24"/>
              </w:rPr>
              <w:t>共享偏移为何使多节点融合仍然低检测率</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失配模型、信息保留率、节点数边界</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机制实验已完成</w:t>
            </w:r>
          </w:p>
        </w:tc>
      </w:tr>
      <w:tr>
        <w:trPr>
          <w:cantSplit/>
        </w:trPr>
        <w:tc>
          <w:tcPr>
            <w:tcW w:type="dxa" w:w="1134"/>
            <w:vAlign w:val="center"/>
            <w:tcMar>
              <w:top w:w="70" w:type="dxa"/>
              <w:start w:w="90" w:type="dxa"/>
              <w:bottom w:w="70" w:type="dxa"/>
              <w:end w:w="90" w:type="dxa"/>
            </w:tcMar>
          </w:tcPr>
          <w:p>
            <w:pPr>
              <w:jc w:val="left"/>
            </w:pPr>
            <w:r>
              <w:rPr>
                <w:rFonts w:ascii="Times New Roman" w:hAnsi="Times New Roman" w:eastAsia="宋体"/>
                <w:b w:val="0"/>
                <w:i w:val="0"/>
                <w:sz w:val="24"/>
              </w:rPr>
              <w:t>问题 2</w:t>
            </w:r>
          </w:p>
        </w:tc>
        <w:tc>
          <w:tcPr>
            <w:tcW w:type="dxa" w:w="2948"/>
            <w:vAlign w:val="center"/>
            <w:tcMar>
              <w:top w:w="70" w:type="dxa"/>
              <w:start w:w="90" w:type="dxa"/>
              <w:bottom w:w="70" w:type="dxa"/>
              <w:end w:w="90" w:type="dxa"/>
            </w:tcMar>
          </w:tcPr>
          <w:p>
            <w:pPr>
              <w:jc w:val="center"/>
            </w:pPr>
            <w:r>
              <w:rPr>
                <w:rFonts w:ascii="Times New Roman" w:hAnsi="Times New Roman" w:eastAsia="宋体"/>
                <w:b w:val="0"/>
                <w:i w:val="0"/>
                <w:sz w:val="24"/>
              </w:rPr>
              <w:t>如何用共享信息校正状态且避免自拟合</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cross fitted MAP、检测曲线、消融</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探索性证据已完成，正式曲线待跑</w:t>
            </w:r>
          </w:p>
        </w:tc>
      </w:tr>
    </w:tbl>
    <w:p>
      <w:pPr>
        <w:spacing w:after="0"/>
      </w:pPr>
    </w:p>
    <w:p>
      <w:pPr>
        <w:pStyle w:val="Heading2"/>
        <w:keepNext/>
        <w:spacing w:before="160" w:after="120"/>
      </w:pPr>
      <w:r>
        <w:rPr>
          <w:rFonts w:ascii="Times New Roman" w:hAnsi="Times New Roman" w:eastAsia="宋体"/>
          <w:b/>
          <w:i w:val="0"/>
          <w:sz w:val="28"/>
        </w:rPr>
        <w:t>3.2 统一框架</w:t>
      </w:r>
    </w:p>
    <w:p>
      <w:pPr>
        <w:spacing w:before="0" w:after="0" w:line="360" w:lineRule="auto"/>
        <w:ind w:firstLine="420"/>
        <w:jc w:val="both"/>
      </w:pPr>
      <w:r>
        <w:rPr>
          <w:rFonts w:ascii="Times New Roman" w:hAnsi="Times New Roman" w:eastAsia="宋体"/>
          <w:b w:val="0"/>
          <w:i w:val="0"/>
          <w:sz w:val="24"/>
        </w:rPr>
        <w:t>系统由 6 架 UAV、3 个运动目标、OTFS 发射接收链路、直达径抑制、目标邻域 GLRT 与中央统计量融合构成。所有节点共享目标状态信念。论文首先固定队形、功率和接收算法，只改变目标状态误差与校正方式。这样可将性能变化归因于状态失配，而不是同时变化的资源分配或几何。</w:t>
      </w:r>
    </w:p>
    <w:p>
      <w:pPr>
        <w:spacing w:before="120" w:after="120"/>
        <w:jc w:val="center"/>
      </w:pPr>
      <w:r>
        <w:rPr>
          <w:rFonts w:ascii="Times New Roman" w:hAnsi="Times New Roman" w:eastAsia="宋体"/>
          <w:b w:val="0"/>
          <w:i/>
          <w:sz w:val="24"/>
        </w:rPr>
        <w:t>\mathbf y_j=\mathbf X_j\mathbf h_j+\sum_{q=1}^{Q}\mathbf A_{jq}(\mathbf x_q)\boldsymbol\alpha_{jq}+\mathbf n_j    (1)</w:t>
      </w:r>
    </w:p>
    <w:p>
      <w:pPr>
        <w:spacing w:before="120" w:after="120"/>
        <w:jc w:val="center"/>
      </w:pPr>
      <w:r>
        <w:rPr>
          <w:rFonts w:ascii="Times New Roman" w:hAnsi="Times New Roman" w:eastAsia="宋体"/>
          <w:b w:val="0"/>
          <w:i/>
          <w:sz w:val="24"/>
        </w:rPr>
        <w:t>\widehat{\mathbf x}_q=\mathbf x_q-\boldsymbol\delta_q,\quad r_q=\|\boldsymbol\delta_q\|_2/\sigma_p    (2)</w:t>
      </w:r>
    </w:p>
    <w:p>
      <w:pPr>
        <w:spacing w:before="0" w:after="0" w:line="360" w:lineRule="auto"/>
        <w:ind w:firstLine="420"/>
        <w:jc w:val="both"/>
      </w:pPr>
      <w:r>
        <w:rPr>
          <w:rFonts w:ascii="Times New Roman" w:hAnsi="Times New Roman" w:eastAsia="宋体"/>
          <w:b w:val="0"/>
          <w:i w:val="0"/>
          <w:sz w:val="24"/>
        </w:rPr>
        <w:t>式中，Xj 表示直达径或干扰字典，Ajq 表示接收机 j 对目标 q 的 OTFS 回波字典，deltaq 是目标状态的共享偏移，sigma p 是位置先验标准差。实验主横轴采用无量纲误差 r，而 0、50、150、250、400 m 仅是 sigma p 等于 150 m 时的案例映射。</w:t>
      </w:r>
    </w:p>
    <w:p>
      <w:pPr>
        <w:pStyle w:val="Heading1"/>
        <w:keepNext/>
        <w:spacing w:before="240" w:after="120"/>
      </w:pPr>
      <w:r>
        <w:rPr>
          <w:rFonts w:ascii="Times New Roman" w:hAnsi="Times New Roman" w:eastAsia="宋体"/>
          <w:b/>
          <w:i w:val="0"/>
          <w:sz w:val="32"/>
        </w:rPr>
        <w:t>4 问题 1 共享目标状态失配的机理与边界</w:t>
      </w:r>
    </w:p>
    <w:p>
      <w:pPr>
        <w:pStyle w:val="Heading2"/>
        <w:keepNext/>
        <w:spacing w:before="160" w:after="120"/>
      </w:pPr>
      <w:r>
        <w:rPr>
          <w:rFonts w:ascii="Times New Roman" w:hAnsi="Times New Roman" w:eastAsia="宋体"/>
          <w:b/>
          <w:i w:val="0"/>
          <w:sz w:val="28"/>
        </w:rPr>
        <w:t>4.1 系统模型建模</w:t>
      </w:r>
    </w:p>
    <w:p>
      <w:pPr>
        <w:spacing w:before="0" w:after="0" w:line="360" w:lineRule="auto"/>
        <w:ind w:firstLine="420"/>
        <w:jc w:val="both"/>
      </w:pPr>
      <w:r>
        <w:rPr>
          <w:rFonts w:ascii="Times New Roman" w:hAnsi="Times New Roman" w:eastAsia="宋体"/>
          <w:b w:val="0"/>
          <w:i w:val="0"/>
          <w:sz w:val="24"/>
        </w:rPr>
        <w:t>问题 1 固定 UAV 数量、目标数量、阵形、发射功率、直达径消除和融合规则。节点 j 使用信念状态构造目标字典 Ab,j，而回波由真值字典 At,j 产生。若偏差是公共的，则所有节点的字典中心同时偏离真实时延、多普勒和方位参数。独立噪声可通过融合减小，字典中心的系统偏差不会随节点数增加而消失。</w:t>
      </w:r>
    </w:p>
    <w:p>
      <w:pPr>
        <w:spacing w:before="120" w:after="120"/>
        <w:jc w:val="center"/>
      </w:pPr>
      <w:r>
        <w:rPr>
          <w:rFonts w:ascii="Times New Roman" w:hAnsi="Times New Roman" w:eastAsia="宋体"/>
          <w:b w:val="0"/>
          <w:i/>
          <w:sz w:val="24"/>
        </w:rPr>
        <w:t>\eta_j(\boldsymbol\delta)=\frac{\|\mathbf Q_{b,j}^{H}\mathbf A_{t,j}\|_F^2}{\|\mathbf A_{t,j}\|_F^2},\quad \mathbf Q_{b,j}=\operatorname{orth}(\mathbf A_{b,j})    (3)</w:t>
      </w:r>
    </w:p>
    <w:p>
      <w:pPr>
        <w:spacing w:before="120" w:after="120"/>
        <w:jc w:val="center"/>
      </w:pPr>
      <w:r>
        <w:rPr>
          <w:rFonts w:ascii="Times New Roman" w:hAnsi="Times New Roman" w:eastAsia="宋体"/>
          <w:b w:val="0"/>
          <w:i/>
          <w:sz w:val="24"/>
        </w:rPr>
        <w:t>\eta_{\mathcal S}=\frac{\sum_{j\in\mathcal S}\eta_j\|\mathbf A_{t,j}\|_F^2}{\sum_{j\in\mathcal S}\|\mathbf A_{t,j}\|_F^2}    (4)</w:t>
      </w:r>
    </w:p>
    <w:p>
      <w:pPr>
        <w:spacing w:before="0" w:after="0" w:line="360" w:lineRule="auto"/>
        <w:ind w:firstLine="420"/>
        <w:jc w:val="both"/>
      </w:pPr>
      <w:r>
        <w:rPr>
          <w:rFonts w:ascii="Times New Roman" w:hAnsi="Times New Roman" w:eastAsia="宋体"/>
          <w:b w:val="0"/>
          <w:i w:val="0"/>
          <w:sz w:val="24"/>
        </w:rPr>
        <w:t>eta j 衡量真值目标字典中有多少能量仍落在信念字典子空间内。eta 等于 1 表示字典完全覆盖真实回波，接近 0 表示检测器在错误子空间中提取统计量。对节点集合 S 的信息保留率是按真实回波能量加权的平均值，因此增加节点可减小节点选择方差，却不会系统性改变公共失配的均值。</w:t>
      </w:r>
    </w:p>
    <w:p>
      <w:pPr>
        <w:pStyle w:val="Heading2"/>
        <w:keepNext/>
        <w:spacing w:before="160" w:after="120"/>
      </w:pPr>
      <w:r>
        <w:rPr>
          <w:rFonts w:ascii="Times New Roman" w:hAnsi="Times New Roman" w:eastAsia="宋体"/>
          <w:b/>
          <w:i w:val="0"/>
          <w:sz w:val="28"/>
        </w:rPr>
        <w:t>4.2 优化函数及分析方法</w:t>
      </w:r>
    </w:p>
    <w:p>
      <w:pPr>
        <w:spacing w:before="0" w:after="0" w:line="360" w:lineRule="auto"/>
        <w:ind w:firstLine="420"/>
        <w:jc w:val="both"/>
      </w:pPr>
      <w:r>
        <w:rPr>
          <w:rFonts w:ascii="Times New Roman" w:hAnsi="Times New Roman" w:eastAsia="宋体"/>
          <w:b w:val="0"/>
          <w:i w:val="0"/>
          <w:sz w:val="24"/>
        </w:rPr>
        <w:t>问题 1 不引入新的迭代优化器，而是采用可重复的机制量。对每个场景和误差半径，分别构造真值目标字典与失配字典，计算 6 个接收机的信息保留率；随后枚举不同节点数的全部接收机子集，计算子集均值和子集间标准差。该分析避免检测门限、噪声实现和状态搜索共同影响结果。</w:t>
      </w:r>
    </w:p>
    <w:p>
      <w:pPr>
        <w:spacing w:before="0" w:after="0" w:line="360" w:lineRule="auto"/>
        <w:ind w:firstLine="420"/>
        <w:jc w:val="both"/>
      </w:pPr>
      <w:r>
        <w:rPr>
          <w:rFonts w:ascii="Times New Roman" w:hAnsi="Times New Roman" w:eastAsia="宋体"/>
          <w:b w:val="0"/>
          <w:i w:val="0"/>
          <w:sz w:val="24"/>
        </w:rPr>
        <w:t>实验配置为 6 架 UAV、3 个目标、12 个独立场景、最短三维节点间距 20 m、位置先验标准差 150 m。误差半径取 0、50、150、250 和 400 m，对应 r 等于 0、0.33、1、1.67 和 2.67。400 m 仅作为失配压力测试，不代表常规跟踪误差。</w:t>
      </w:r>
    </w:p>
    <w:p>
      <w:pPr>
        <w:pStyle w:val="Heading2"/>
        <w:keepNext/>
        <w:spacing w:before="160" w:after="120"/>
      </w:pPr>
      <w:r>
        <w:rPr>
          <w:rFonts w:ascii="Times New Roman" w:hAnsi="Times New Roman" w:eastAsia="宋体"/>
          <w:b/>
          <w:i w:val="0"/>
          <w:sz w:val="28"/>
        </w:rPr>
        <w:t>4.3 实验结果及分析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位置误差 m</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归一化误差 r</w:t>
            </w:r>
          </w:p>
        </w:tc>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六节点信息保留率</w:t>
            </w:r>
          </w:p>
        </w:tc>
        <w:tc>
          <w:tcPr>
            <w:tcW w:type="dxa" w:w="2494"/>
            <w:shd w:fill="D9E2F3"/>
            <w:vAlign w:val="center"/>
            <w:tcMar>
              <w:top w:w="70" w:type="dxa"/>
              <w:start w:w="90" w:type="dxa"/>
              <w:bottom w:w="70" w:type="dxa"/>
              <w:end w:w="90" w:type="dxa"/>
            </w:tcMar>
          </w:tcPr>
          <w:p>
            <w:pPr>
              <w:jc w:val="center"/>
            </w:pPr>
            <w:r>
              <w:rPr>
                <w:rFonts w:ascii="Times New Roman" w:hAnsi="Times New Roman" w:eastAsia="宋体"/>
                <w:b/>
                <w:i w:val="0"/>
                <w:sz w:val="24"/>
              </w:rPr>
              <w:t>场景分位区间 2.5% 到 97.5%</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0.00</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1.000</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[1.000, 1.000]</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0.33</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0.716</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[0.211, 0.968]</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150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1.00</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0.249</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[0.040, 0.745]</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250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1.67</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0.097</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[0.015, 0.473]</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400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2.67</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0.039</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[0.001, 0.173]</w:t>
            </w:r>
          </w:p>
        </w:tc>
      </w:tr>
    </w:tbl>
    <w:p>
      <w:pPr>
        <w:spacing w:after="0"/>
      </w:pPr>
    </w:p>
    <w:p>
      <w:pPr>
        <w:spacing w:before="0" w:after="0" w:line="360" w:lineRule="auto"/>
        <w:ind w:firstLine="420"/>
        <w:jc w:val="both"/>
      </w:pPr>
      <w:r>
        <w:rPr>
          <w:rFonts w:ascii="Times New Roman" w:hAnsi="Times New Roman" w:eastAsia="宋体"/>
          <w:b w:val="0"/>
          <w:i w:val="0"/>
          <w:sz w:val="24"/>
        </w:rPr>
        <w:t>无误差时六节点信息保留率为 1.000。误差为 50 m 时均值降至 0.716；误差达到一个先验标准差 150 m 时仅保留 0.249；250 m 和 400 m 时进一步降至 0.097 和 0.039。场景间区间较宽，说明几何会调节失配敏感性，但总体下降趋势清晰。</w:t>
      </w:r>
    </w:p>
    <w:p>
      <w:pPr>
        <w:spacing w:before="0" w:after="0" w:line="360" w:lineRule="auto"/>
        <w:ind w:firstLine="420"/>
        <w:jc w:val="both"/>
      </w:pPr>
      <w:r>
        <w:rPr>
          <w:rFonts w:ascii="Times New Roman" w:hAnsi="Times New Roman" w:eastAsia="宋体"/>
          <w:b w:val="0"/>
          <w:i w:val="0"/>
          <w:sz w:val="24"/>
        </w:rPr>
        <w:t>节点数没有恢复平均信息。在 150 m 误差下，1 节点与 6 节点的平均保留率分别为 0.267 和 0.249；在 400 m 误差下分别为 0.038 和 0.039。六节点的子集选择方差归零是因为全部节点均被选中，并不表示公共偏差得到修正。该结果支持“融合减少独立波动，但不能消除共享字典偏差”的机制判断。</w:t>
      </w:r>
    </w:p>
    <w:p>
      <w:pPr>
        <w:spacing w:before="0" w:after="0" w:line="360" w:lineRule="auto"/>
        <w:ind w:firstLine="420"/>
        <w:jc w:val="both"/>
      </w:pPr>
      <w:r>
        <w:rPr>
          <w:rFonts w:ascii="Times New Roman" w:hAnsi="Times New Roman" w:eastAsia="宋体"/>
          <w:b w:val="0"/>
          <w:i w:val="0"/>
          <w:sz w:val="24"/>
        </w:rPr>
        <w:t>代表性旧场景中，瓶颈目标的位置偏差达到 531 m，六个单节点检测概率均低于 0.18，融合后约为 0.263；将 belief 临时替换为真值后，同一系统的融合检测概率接近 1。该案例与信息保留率实验方向一致，但它属于单场景反事实审计，不作为总体性能估计。</w:t>
      </w:r>
    </w:p>
    <w:p>
      <w:pPr>
        <w:pStyle w:val="Heading2"/>
        <w:keepNext/>
        <w:spacing w:before="160" w:after="120"/>
      </w:pPr>
      <w:r>
        <w:rPr>
          <w:rFonts w:ascii="Times New Roman" w:hAnsi="Times New Roman" w:eastAsia="宋体"/>
          <w:b/>
          <w:i w:val="0"/>
          <w:sz w:val="28"/>
        </w:rPr>
        <w:t>4.4 消融实验及分析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587"/>
            <w:shd w:fill="D9E2F3"/>
            <w:vAlign w:val="center"/>
            <w:tcMar>
              <w:top w:w="70" w:type="dxa"/>
              <w:start w:w="90" w:type="dxa"/>
              <w:bottom w:w="70" w:type="dxa"/>
              <w:end w:w="90" w:type="dxa"/>
            </w:tcMar>
          </w:tcPr>
          <w:p>
            <w:pPr>
              <w:jc w:val="center"/>
            </w:pPr>
            <w:r>
              <w:rPr>
                <w:rFonts w:ascii="Times New Roman" w:hAnsi="Times New Roman" w:eastAsia="宋体"/>
                <w:b/>
                <w:i w:val="0"/>
                <w:sz w:val="24"/>
              </w:rPr>
              <w:t>消融因素</w:t>
            </w:r>
          </w:p>
        </w:tc>
        <w:tc>
          <w:tcPr>
            <w:tcW w:type="dxa" w:w="2381"/>
            <w:shd w:fill="D9E2F3"/>
            <w:vAlign w:val="center"/>
            <w:tcMar>
              <w:top w:w="70" w:type="dxa"/>
              <w:start w:w="90" w:type="dxa"/>
              <w:bottom w:w="70" w:type="dxa"/>
              <w:end w:w="90" w:type="dxa"/>
            </w:tcMar>
          </w:tcPr>
          <w:p>
            <w:pPr>
              <w:jc w:val="center"/>
            </w:pPr>
            <w:r>
              <w:rPr>
                <w:rFonts w:ascii="Times New Roman" w:hAnsi="Times New Roman" w:eastAsia="宋体"/>
                <w:b/>
                <w:i w:val="0"/>
                <w:sz w:val="24"/>
              </w:rPr>
              <w:t>设计</w:t>
            </w:r>
          </w:p>
        </w:tc>
        <w:tc>
          <w:tcPr>
            <w:tcW w:type="dxa" w:w="2891"/>
            <w:shd w:fill="D9E2F3"/>
            <w:vAlign w:val="center"/>
            <w:tcMar>
              <w:top w:w="70" w:type="dxa"/>
              <w:start w:w="90" w:type="dxa"/>
              <w:bottom w:w="70" w:type="dxa"/>
              <w:end w:w="90" w:type="dxa"/>
            </w:tcMar>
          </w:tcPr>
          <w:p>
            <w:pPr>
              <w:jc w:val="center"/>
            </w:pPr>
            <w:r>
              <w:rPr>
                <w:rFonts w:ascii="Times New Roman" w:hAnsi="Times New Roman" w:eastAsia="宋体"/>
                <w:b/>
                <w:i w:val="0"/>
                <w:sz w:val="24"/>
              </w:rPr>
              <w:t>判别逻辑</w:t>
            </w:r>
          </w:p>
        </w:tc>
        <w:tc>
          <w:tcPr>
            <w:tcW w:type="dxa" w:w="1304"/>
            <w:shd w:fill="D9E2F3"/>
            <w:vAlign w:val="center"/>
            <w:tcMar>
              <w:top w:w="70" w:type="dxa"/>
              <w:start w:w="90" w:type="dxa"/>
              <w:bottom w:w="70" w:type="dxa"/>
              <w:end w:w="90" w:type="dxa"/>
            </w:tcMar>
          </w:tcPr>
          <w:p>
            <w:pPr>
              <w:jc w:val="center"/>
            </w:pPr>
            <w:r>
              <w:rPr>
                <w:rFonts w:ascii="Times New Roman" w:hAnsi="Times New Roman" w:eastAsia="宋体"/>
                <w:b/>
                <w:i w:val="0"/>
                <w:sz w:val="24"/>
              </w:rPr>
              <w:t>状态</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节点数</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M 取 1 到 6，枚举全部子集</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均值不升且方差下降，支持公共偏差解释</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误差尺度</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r 取 0 到 2.67</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检验信息保留率是否随失配增大而下降</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几何</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固定随机几何并满足 20 m 间距</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排除非法近距离节点</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独立误差对照</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各节点注入独立方向误差</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与共享偏差比较融合可平均性</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待补</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速度误差</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固定位置误差，改变速度先验</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检验 OTFS 多普勒维失配</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待补</w:t>
            </w:r>
          </w:p>
        </w:tc>
      </w:tr>
    </w:tbl>
    <w:p>
      <w:pPr>
        <w:spacing w:after="0"/>
      </w:pPr>
    </w:p>
    <w:p>
      <w:pPr>
        <w:pStyle w:val="Heading2"/>
        <w:keepNext/>
        <w:spacing w:before="160" w:after="120"/>
      </w:pPr>
      <w:r>
        <w:rPr>
          <w:rFonts w:ascii="Times New Roman" w:hAnsi="Times New Roman" w:eastAsia="宋体"/>
          <w:b/>
          <w:i w:val="0"/>
          <w:sz w:val="28"/>
        </w:rPr>
        <w:t>4.5 实验总结</w:t>
      </w:r>
    </w:p>
    <w:p>
      <w:pPr>
        <w:spacing w:before="0" w:after="0" w:line="360" w:lineRule="auto"/>
        <w:ind w:firstLine="420"/>
        <w:jc w:val="both"/>
      </w:pPr>
      <w:r>
        <w:rPr>
          <w:rFonts w:ascii="Times New Roman" w:hAnsi="Times New Roman" w:eastAsia="宋体"/>
          <w:b w:val="0"/>
          <w:i w:val="0"/>
          <w:sz w:val="24"/>
        </w:rPr>
        <w:t>问题 1 已形成可写入论文的初步机制结论：共享目标状态偏差会使所有节点的 OTFS 目标字典同时偏离真值；增加节点主要降低节点选择造成的波动，不恢复平均字典信息。该结论目前由 12 场景子空间实验和一个代表性 oracle 反事实案例支持。其边界是信息保留率并非检测概率，仍需在统一门限与独立测试集下建立 eta 与 AUC、PD 的对应关系。</w:t>
      </w:r>
    </w:p>
    <w:p>
      <w:pPr>
        <w:pStyle w:val="Heading1"/>
        <w:keepNext/>
        <w:spacing w:before="240" w:after="120"/>
      </w:pPr>
      <w:r>
        <w:rPr>
          <w:rFonts w:ascii="Times New Roman" w:hAnsi="Times New Roman" w:eastAsia="宋体"/>
          <w:b/>
          <w:i w:val="0"/>
          <w:sz w:val="32"/>
        </w:rPr>
        <w:t>5 问题 2 共享状态的交叉拟合校正</w:t>
      </w:r>
    </w:p>
    <w:p>
      <w:pPr>
        <w:pStyle w:val="Heading2"/>
        <w:keepNext/>
        <w:spacing w:before="160" w:after="120"/>
      </w:pPr>
      <w:r>
        <w:rPr>
          <w:rFonts w:ascii="Times New Roman" w:hAnsi="Times New Roman" w:eastAsia="宋体"/>
          <w:b/>
          <w:i w:val="0"/>
          <w:sz w:val="28"/>
        </w:rPr>
        <w:t>5.1 系统模型建模</w:t>
      </w:r>
    </w:p>
    <w:p>
      <w:pPr>
        <w:spacing w:before="0" w:after="0" w:line="360" w:lineRule="auto"/>
        <w:ind w:firstLine="420"/>
        <w:jc w:val="both"/>
      </w:pPr>
      <w:r>
        <w:rPr>
          <w:rFonts w:ascii="Times New Roman" w:hAnsi="Times New Roman" w:eastAsia="宋体"/>
          <w:b w:val="0"/>
          <w:i w:val="0"/>
          <w:sz w:val="24"/>
        </w:rPr>
        <w:t>问题 2 假设相邻两个短时相干处理区间内目标位置偏移近似不变，记两折数据为 YA 和 YB。每一折包含 6 个接收机的观测。算法使用 YA 估计共享二维位置偏移，并只在 YB 上执行检测；随后交换两折角色。该假设要求折间状态漂移小于目标字典的有效相关宽度，不能扩展为长时间静态假设。</w:t>
      </w:r>
    </w:p>
    <w:p>
      <w:pPr>
        <w:spacing w:before="120" w:after="120"/>
        <w:jc w:val="center"/>
      </w:pPr>
      <w:r>
        <w:rPr>
          <w:rFonts w:ascii="Times New Roman" w:hAnsi="Times New Roman" w:eastAsia="宋体"/>
          <w:b w:val="0"/>
          <w:i/>
          <w:sz w:val="24"/>
        </w:rPr>
        <w:t>\widehat{\boldsymbol\delta}_{A}=\arg\max_{\boldsymbol\delta\in\Omega}\left[\sum_{j=1}^{M}G_j(\mathbf y_{j,A};\boldsymbol\delta)-\frac{1}{2}\boldsymbol\delta^T\mathbf P_{\delta}^{-1}\boldsymbol\delta\right]    (5)</w:t>
      </w:r>
    </w:p>
    <w:p>
      <w:pPr>
        <w:spacing w:before="120" w:after="120"/>
        <w:jc w:val="center"/>
      </w:pPr>
      <w:r>
        <w:rPr>
          <w:rFonts w:ascii="Times New Roman" w:hAnsi="Times New Roman" w:eastAsia="宋体"/>
          <w:b w:val="0"/>
          <w:i/>
          <w:sz w:val="24"/>
        </w:rPr>
        <w:t>T_{CF}=\sum_{j=1}^{M}T(\mathbf y_{j,B};\widehat{\boldsymbol\delta}_{A})+\sum_{j=1}^{M}T(\mathbf y_{j,A};\widehat{\boldsymbol\delta}_{B})    (6)</w:t>
      </w:r>
    </w:p>
    <w:p>
      <w:pPr>
        <w:spacing w:before="0" w:after="0" w:line="360" w:lineRule="auto"/>
        <w:ind w:firstLine="420"/>
        <w:jc w:val="both"/>
      </w:pPr>
      <w:r>
        <w:rPr>
          <w:rFonts w:ascii="Times New Roman" w:hAnsi="Times New Roman" w:eastAsia="宋体"/>
          <w:b w:val="0"/>
          <w:i w:val="0"/>
          <w:sz w:val="24"/>
        </w:rPr>
        <w:t>G j 是接收机 j 对候选偏移的状态拟合目标，P delta 是共享偏移先验协方差，Omega 是搜索域。T 是 held out 检测统计量。算法只更新接收机可知的目标字典、保护基和相关协方差，不修改观测、真值回波、真实信道或噪声。该字段白名单防止真值泄漏。</w:t>
      </w:r>
    </w:p>
    <w:p>
      <w:pPr>
        <w:pStyle w:val="Heading2"/>
        <w:keepNext/>
        <w:spacing w:before="160" w:after="120"/>
      </w:pPr>
      <w:r>
        <w:rPr>
          <w:rFonts w:ascii="Times New Roman" w:hAnsi="Times New Roman" w:eastAsia="宋体"/>
          <w:b/>
          <w:i w:val="0"/>
          <w:sz w:val="28"/>
        </w:rPr>
        <w:t>5.2 优化函数及优化算法</w:t>
      </w:r>
    </w:p>
    <w:p>
      <w:pPr>
        <w:spacing w:before="0" w:after="0" w:line="360" w:lineRule="auto"/>
        <w:ind w:firstLine="420"/>
        <w:jc w:val="both"/>
      </w:pPr>
      <w:r>
        <w:rPr>
          <w:rFonts w:ascii="Times New Roman" w:hAnsi="Times New Roman" w:eastAsia="宋体"/>
          <w:b w:val="0"/>
          <w:i w:val="0"/>
          <w:sz w:val="24"/>
        </w:rPr>
        <w:t>当前基线求解器采用粗到细 MAP 搜索。已有峰宽实验表明，目标函数的半高宽约为 25 至 75 m，因此粗网格间距采用 75 m，而不是早期方案中的 300 m。候选偏移先由多接收机目标函数求和评分，再围绕最优候选进行局部细化。正式论文保留这一冻结基线，不再把 Top K、NMS、边界扩展等机制同时加入主方法。</w:t>
      </w:r>
    </w:p>
    <w:p>
      <w:pPr>
        <w:pStyle w:val="ListBullet"/>
        <w:spacing w:after="40"/>
        <w:ind w:left="420" w:hanging="210"/>
      </w:pPr>
      <w:r>
        <w:rPr>
          <w:rFonts w:ascii="Times New Roman" w:hAnsi="Times New Roman" w:eastAsia="宋体"/>
          <w:b w:val="0"/>
          <w:i w:val="0"/>
          <w:sz w:val="24"/>
        </w:rPr>
        <w:t>名义方法：不估计偏移，直接使用原始 belief。</w:t>
      </w:r>
    </w:p>
    <w:p>
      <w:pPr>
        <w:pStyle w:val="ListBullet"/>
        <w:spacing w:after="40"/>
        <w:ind w:left="420" w:hanging="210"/>
      </w:pPr>
      <w:r>
        <w:rPr>
          <w:rFonts w:ascii="Times New Roman" w:hAnsi="Times New Roman" w:eastAsia="宋体"/>
          <w:b w:val="0"/>
          <w:i w:val="0"/>
          <w:sz w:val="24"/>
        </w:rPr>
        <w:t>self fit：用同一折估计偏移并检测同一折，用于暴露重复使用数据的偏差。</w:t>
      </w:r>
    </w:p>
    <w:p>
      <w:pPr>
        <w:pStyle w:val="ListBullet"/>
        <w:spacing w:after="40"/>
        <w:ind w:left="420" w:hanging="210"/>
      </w:pPr>
      <w:r>
        <w:rPr>
          <w:rFonts w:ascii="Times New Roman" w:hAnsi="Times New Roman" w:eastAsia="宋体"/>
          <w:b w:val="0"/>
          <w:i w:val="0"/>
          <w:sz w:val="24"/>
        </w:rPr>
        <w:t>local cross fit：每个接收机独立估计偏移后交叉检测，用于检验共享建模的贡献。</w:t>
      </w:r>
    </w:p>
    <w:p>
      <w:pPr>
        <w:pStyle w:val="ListBullet"/>
        <w:spacing w:after="40"/>
        <w:ind w:left="420" w:hanging="210"/>
      </w:pPr>
      <w:r>
        <w:rPr>
          <w:rFonts w:ascii="Times New Roman" w:hAnsi="Times New Roman" w:eastAsia="宋体"/>
          <w:b w:val="0"/>
          <w:i w:val="0"/>
          <w:sz w:val="24"/>
        </w:rPr>
        <w:t>shared cross fit：全部接收机共同估计一个偏移并交叉检测，是本文拟议方法。</w:t>
      </w:r>
    </w:p>
    <w:p>
      <w:pPr>
        <w:pStyle w:val="ListBullet"/>
        <w:spacing w:after="40"/>
        <w:ind w:left="420" w:hanging="210"/>
      </w:pPr>
      <w:r>
        <w:rPr>
          <w:rFonts w:ascii="Times New Roman" w:hAnsi="Times New Roman" w:eastAsia="宋体"/>
          <w:b w:val="0"/>
          <w:i w:val="0"/>
          <w:sz w:val="24"/>
        </w:rPr>
        <w:t>oracle：使用真值状态，只作为不可部署上界。</w:t>
      </w:r>
    </w:p>
    <w:p>
      <w:pPr>
        <w:spacing w:before="0" w:after="0" w:line="360" w:lineRule="auto"/>
        <w:ind w:firstLine="420"/>
        <w:jc w:val="both"/>
      </w:pPr>
      <w:r>
        <w:rPr>
          <w:rFonts w:ascii="Times New Roman" w:hAnsi="Times New Roman" w:eastAsia="宋体"/>
          <w:b w:val="0"/>
          <w:i w:val="0"/>
          <w:sz w:val="24"/>
        </w:rPr>
        <w:t>低复杂度 Jacobian WLS MAP 已实现并完成小样本筛查。其单场景求解时间约为 0.35 s，显著低于网格搜索约 16 s；但在 150 m 误差的 3 个试验场景中，WLS 残余状态误差约为 126 至 152 m，而网格 MAP 为 2 至 17 m。因此 WLS 目前只能作为速度基线，不能替代主方法。</w:t>
      </w:r>
    </w:p>
    <w:p>
      <w:pPr>
        <w:pStyle w:val="Heading2"/>
        <w:keepNext/>
        <w:spacing w:before="160" w:after="120"/>
      </w:pPr>
      <w:r>
        <w:rPr>
          <w:rFonts w:ascii="Times New Roman" w:hAnsi="Times New Roman" w:eastAsia="宋体"/>
          <w:b/>
          <w:i w:val="0"/>
          <w:sz w:val="28"/>
        </w:rPr>
        <w:t>5.3 实验结果及分析</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以下 Gate 1 是 150 m 单档探索性证据。其场景数有限，且生成于 20 m 最短间距成为正式约束之前，不能作为最终确认性结果。</w:t>
            </w:r>
          </w:p>
        </w:tc>
      </w:tr>
    </w:tbl>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cantSplit/>
        </w:trPr>
        <w:tc>
          <w:tcPr>
            <w:tcW w:type="dxa" w:w="1928"/>
            <w:shd w:fill="D9E2F3"/>
            <w:vAlign w:val="center"/>
            <w:tcMar>
              <w:top w:w="70" w:type="dxa"/>
              <w:start w:w="90" w:type="dxa"/>
              <w:bottom w:w="70" w:type="dxa"/>
              <w:end w:w="90" w:type="dxa"/>
            </w:tcMar>
          </w:tcPr>
          <w:p>
            <w:pPr>
              <w:jc w:val="center"/>
            </w:pPr>
            <w:r>
              <w:rPr>
                <w:rFonts w:ascii="Times New Roman" w:hAnsi="Times New Roman" w:eastAsia="宋体"/>
                <w:b/>
                <w:i w:val="0"/>
                <w:sz w:val="24"/>
              </w:rPr>
              <w:t>方法</w:t>
            </w:r>
          </w:p>
        </w:tc>
        <w:tc>
          <w:tcPr>
            <w:tcW w:type="dxa" w:w="1361"/>
            <w:shd w:fill="D9E2F3"/>
            <w:vAlign w:val="center"/>
            <w:tcMar>
              <w:top w:w="70" w:type="dxa"/>
              <w:start w:w="90" w:type="dxa"/>
              <w:bottom w:w="70" w:type="dxa"/>
              <w:end w:w="90" w:type="dxa"/>
            </w:tcMar>
          </w:tcPr>
          <w:p>
            <w:pPr>
              <w:jc w:val="center"/>
            </w:pPr>
            <w:r>
              <w:rPr>
                <w:rFonts w:ascii="Times New Roman" w:hAnsi="Times New Roman" w:eastAsia="宋体"/>
                <w:b/>
                <w:i w:val="0"/>
                <w:sz w:val="24"/>
              </w:rPr>
              <w:t>AUC</w:t>
            </w:r>
          </w:p>
        </w:tc>
        <w:tc>
          <w:tcPr>
            <w:tcW w:type="dxa" w:w="1361"/>
            <w:shd w:fill="D9E2F3"/>
            <w:vAlign w:val="center"/>
            <w:tcMar>
              <w:top w:w="70" w:type="dxa"/>
              <w:start w:w="90" w:type="dxa"/>
              <w:bottom w:w="70" w:type="dxa"/>
              <w:end w:w="90" w:type="dxa"/>
            </w:tcMar>
          </w:tcPr>
          <w:p>
            <w:pPr>
              <w:jc w:val="center"/>
            </w:pPr>
            <w:r>
              <w:rPr>
                <w:rFonts w:ascii="Times New Roman" w:hAnsi="Times New Roman" w:eastAsia="宋体"/>
                <w:b/>
                <w:i w:val="0"/>
                <w:sz w:val="24"/>
              </w:rPr>
              <w:t>PD</w:t>
            </w:r>
          </w:p>
        </w:tc>
        <w:tc>
          <w:tcPr>
            <w:tcW w:type="dxa" w:w="1474"/>
            <w:shd w:fill="D9E2F3"/>
            <w:vAlign w:val="center"/>
            <w:tcMar>
              <w:top w:w="70" w:type="dxa"/>
              <w:start w:w="90" w:type="dxa"/>
              <w:bottom w:w="70" w:type="dxa"/>
              <w:end w:w="90" w:type="dxa"/>
            </w:tcMar>
          </w:tcPr>
          <w:p>
            <w:pPr>
              <w:jc w:val="center"/>
            </w:pPr>
            <w:r>
              <w:rPr>
                <w:rFonts w:ascii="Times New Roman" w:hAnsi="Times New Roman" w:eastAsia="宋体"/>
                <w:b/>
                <w:i w:val="0"/>
                <w:sz w:val="24"/>
              </w:rPr>
              <w:t>经验 PFA</w:t>
            </w:r>
          </w:p>
        </w:tc>
        <w:tc>
          <w:tcPr>
            <w:tcW w:type="dxa" w:w="2041"/>
            <w:shd w:fill="D9E2F3"/>
            <w:vAlign w:val="center"/>
            <w:tcMar>
              <w:top w:w="70" w:type="dxa"/>
              <w:start w:w="90" w:type="dxa"/>
              <w:bottom w:w="70" w:type="dxa"/>
              <w:end w:w="90" w:type="dxa"/>
            </w:tcMar>
          </w:tcPr>
          <w:p>
            <w:pPr>
              <w:jc w:val="center"/>
            </w:pPr>
            <w:r>
              <w:rPr>
                <w:rFonts w:ascii="Times New Roman" w:hAnsi="Times New Roman" w:eastAsia="宋体"/>
                <w:b/>
                <w:i w:val="0"/>
                <w:sz w:val="24"/>
              </w:rPr>
              <w:t>状态误差</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nominal</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0.8875</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0.75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0.15</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150.0 m 基线</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local cross fit</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0.9150</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0.85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0.20</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各节点独立</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shared cross fit</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0.9600</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0.90</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0.05</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中位 11.7 m</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oracle</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0.9875</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0.00</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0 m</w:t>
            </w:r>
          </w:p>
        </w:tc>
      </w:tr>
    </w:tbl>
    <w:p>
      <w:pPr>
        <w:spacing w:after="0"/>
      </w:pPr>
    </w:p>
    <w:p>
      <w:pPr>
        <w:spacing w:before="0" w:after="0" w:line="360" w:lineRule="auto"/>
        <w:ind w:firstLine="420"/>
        <w:jc w:val="both"/>
      </w:pPr>
      <w:r>
        <w:rPr>
          <w:rFonts w:ascii="Times New Roman" w:hAnsi="Times New Roman" w:eastAsia="宋体"/>
          <w:b w:val="0"/>
          <w:i w:val="0"/>
          <w:sz w:val="24"/>
        </w:rPr>
        <w:t>在该探索性数据中，shared cross fit 相对 nominal 的 AUC 增量为 0.0725，PD 增量为 0.15。AUC 增量的配对 95% 区间为 [-0.0225, 0.1801]，跨越 0；PD 增量区间下界为 0.00。因此可以写成“显示有利趋势”，不能写成“已经显著优于”。</w:t>
      </w:r>
    </w:p>
    <w:p>
      <w:pPr>
        <w:spacing w:before="0" w:after="0" w:line="360" w:lineRule="auto"/>
        <w:ind w:firstLine="420"/>
        <w:jc w:val="both"/>
      </w:pPr>
      <w:r>
        <w:rPr>
          <w:rFonts w:ascii="Times New Roman" w:hAnsi="Times New Roman" w:eastAsia="宋体"/>
          <w:b w:val="0"/>
          <w:i w:val="0"/>
          <w:sz w:val="24"/>
        </w:rPr>
        <w:t>shared cross fit 的 AUC 高于 local cross fit，且经验 PFA 为 0.05；local cross fit 的经验 PFA 为 0.20。这一结果表明共享状态假设可能提供独立贡献。不过每种方法只有 20 个测试 H0 样本，经验 PFA 只能以 0.05 为步长变化，置信区间较宽。正式实验必须扩大标定和测试规模，并在新几何约束下重跑。</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阶段 B 的 r=1 初始冒烟未通过；随后只增加候选覆盖的单场景反事实已恢复两折状态，尚待 r=0 门禁标定后扩展。</w:t>
            </w:r>
          </w:p>
        </w:tc>
      </w:tr>
    </w:tbl>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检查项</w:t>
            </w:r>
          </w:p>
        </w:tc>
        <w:tc>
          <w:tcPr>
            <w:tcW w:type="dxa" w:w="3061"/>
            <w:shd w:fill="D9E2F3"/>
            <w:vAlign w:val="center"/>
            <w:tcMar>
              <w:top w:w="70" w:type="dxa"/>
              <w:start w:w="90" w:type="dxa"/>
              <w:bottom w:w="70" w:type="dxa"/>
              <w:end w:w="90" w:type="dxa"/>
            </w:tcMar>
          </w:tcPr>
          <w:p>
            <w:pPr>
              <w:jc w:val="center"/>
            </w:pPr>
            <w:r>
              <w:rPr>
                <w:rFonts w:ascii="Times New Roman" w:hAnsi="Times New Roman" w:eastAsia="宋体"/>
                <w:b/>
                <w:i w:val="0"/>
                <w:sz w:val="24"/>
              </w:rPr>
              <w:t>结果</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裁决</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墙钟时间</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406.2 s</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记录成本</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最小节点间距</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126.9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通过 20 m 约束</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shared 平均残余误差</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208.7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高于 150 m 基线，未通过</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WLS 平均残余误差</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111.5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该场景向真值改善</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A 折诊断</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J真值=48.95，J选中=47.63</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搜索漏掉更优真峰</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B 折诊断</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J真值=72.17，J选中=76.48</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目标面偏好假峰</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37.5 m 候选覆盖 A 折</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残余误差 16.7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候选覆盖修复成立</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37.5 m 候选覆盖 B 折</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残余误差 39.7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更新有效，无需回退</w:t>
            </w:r>
          </w:p>
        </w:tc>
      </w:tr>
    </w:tbl>
    <w:p>
      <w:pPr>
        <w:spacing w:after="0"/>
      </w:pPr>
    </w:p>
    <w:p>
      <w:pPr>
        <w:spacing w:before="0" w:after="0" w:line="360" w:lineRule="auto"/>
        <w:ind w:firstLine="420"/>
        <w:jc w:val="both"/>
      </w:pPr>
      <w:r>
        <w:rPr>
          <w:rFonts w:ascii="Times New Roman" w:hAnsi="Times New Roman" w:eastAsia="宋体"/>
          <w:b w:val="0"/>
          <w:i w:val="0"/>
          <w:sz w:val="24"/>
        </w:rPr>
        <w:t>初始反例说明失败不能统一归因于搜索边界。A 折真值附近的 75 m 粗网格候选仅排第 11；将候选间距减半至 37.5 m 后，A、B 两折残余误差分别降至 16.7 m 和 39.7 m。B 折虽然没有选择精确真值点，但其更新具有正目标增益、4 个接收机支持、不贴边，且与 A 折只相差 37.5 m，因此不应事后按真值强制回退。正式门禁阈值必须由 r=0 calibration 场景标定。</w:t>
      </w:r>
    </w:p>
    <w:p>
      <w:pPr>
        <w:pStyle w:val="Heading2"/>
        <w:keepNext/>
        <w:spacing w:before="160" w:after="120"/>
      </w:pPr>
      <w:r>
        <w:rPr>
          <w:rFonts w:ascii="Times New Roman" w:hAnsi="Times New Roman" w:eastAsia="宋体"/>
          <w:b/>
          <w:i w:val="0"/>
          <w:sz w:val="28"/>
        </w:rPr>
        <w:t>5.4 消融实验及分析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消融</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回答的问题</w:t>
            </w:r>
          </w:p>
        </w:tc>
        <w:tc>
          <w:tcPr>
            <w:tcW w:type="dxa" w:w="1871"/>
            <w:shd w:fill="D9E2F3"/>
            <w:vAlign w:val="center"/>
            <w:tcMar>
              <w:top w:w="70" w:type="dxa"/>
              <w:start w:w="90" w:type="dxa"/>
              <w:bottom w:w="70" w:type="dxa"/>
              <w:end w:w="90" w:type="dxa"/>
            </w:tcMar>
          </w:tcPr>
          <w:p>
            <w:pPr>
              <w:jc w:val="center"/>
            </w:pPr>
            <w:r>
              <w:rPr>
                <w:rFonts w:ascii="Times New Roman" w:hAnsi="Times New Roman" w:eastAsia="宋体"/>
                <w:b/>
                <w:i w:val="0"/>
                <w:sz w:val="24"/>
              </w:rPr>
              <w:t>主指标</w:t>
            </w:r>
          </w:p>
        </w:tc>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判定</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self fit 对 cross fit</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数据隔离是否控制 H0 统计量抬升</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PFA、H0 分布、AUC</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各臂独立标定门限</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local 对 shared</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共享状态建模是否具有独立贡献</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配对 AUC、PD、状态误差</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shared 优于 local</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nominal 对 oracle</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方法可闭合多少失配上限</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oracle gap closure</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只解释可恢复空间</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WLS 对 grid MAP</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复杂度与鲁棒性的交换</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运行时间、RMSE、失败率</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不只比较平均速度</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搜索步长</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求解失败还是目标面不可辨识</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真值处目标值、峰宽、恢复误差</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步长不大于峰宽</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误差档位</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校正在什么失配区间有效</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r 分层 AUC、PD、PFA</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主轴采用 r</w:t>
            </w:r>
          </w:p>
        </w:tc>
      </w:tr>
    </w:tbl>
    <w:p>
      <w:pPr>
        <w:spacing w:after="0"/>
      </w:pPr>
    </w:p>
    <w:p>
      <w:pPr>
        <w:spacing w:before="0" w:after="0" w:line="360" w:lineRule="auto"/>
        <w:ind w:firstLine="420"/>
        <w:jc w:val="both"/>
      </w:pPr>
      <w:r>
        <w:rPr>
          <w:rFonts w:ascii="Times New Roman" w:hAnsi="Times New Roman" w:eastAsia="宋体"/>
          <w:b w:val="0"/>
          <w:i w:val="0"/>
          <w:sz w:val="24"/>
        </w:rPr>
        <w:t>此前 gated Top K 消融的平均状态误差改善主要由少数场景贡献，去掉两个最大改善场景后均值改善消失。因此该机制不进入本文主方法。边界假峰目前只是候选解释，不是已证实病因；只有当失败场景在预先定义的边界诊断量上稳定聚集，并能被单因素修复时，才能形成病因结论。</w:t>
      </w:r>
    </w:p>
    <w:p>
      <w:pPr>
        <w:pStyle w:val="Heading2"/>
        <w:keepNext/>
        <w:spacing w:before="160" w:after="120"/>
      </w:pPr>
      <w:r>
        <w:rPr>
          <w:rFonts w:ascii="Times New Roman" w:hAnsi="Times New Roman" w:eastAsia="宋体"/>
          <w:b/>
          <w:i w:val="0"/>
          <w:sz w:val="28"/>
        </w:rPr>
        <w:t>5.5 实验总结</w:t>
      </w:r>
    </w:p>
    <w:p>
      <w:pPr>
        <w:spacing w:before="0" w:after="0" w:line="360" w:lineRule="auto"/>
        <w:ind w:firstLine="420"/>
        <w:jc w:val="both"/>
      </w:pPr>
      <w:r>
        <w:rPr>
          <w:rFonts w:ascii="Times New Roman" w:hAnsi="Times New Roman" w:eastAsia="宋体"/>
          <w:b w:val="0"/>
          <w:i w:val="0"/>
          <w:sz w:val="24"/>
        </w:rPr>
        <w:t>问题 2 已具备完整的算法实现、信息隔离测试和一档探索性检测结果。现有证据支持 shared cross fit 具有恢复状态和改善检测的潜力，也显示全局网格搜索存在较高计算成本。当前不足不是继续叠加求解器模块，而是缺少 20 m 节点间距、归一化误差分层和足够标定样本下的确认性曲线。</w:t>
      </w:r>
    </w:p>
    <w:p>
      <w:pPr>
        <w:pStyle w:val="Heading1"/>
        <w:keepNext/>
        <w:spacing w:before="240" w:after="120"/>
      </w:pPr>
      <w:r>
        <w:rPr>
          <w:rFonts w:ascii="Times New Roman" w:hAnsi="Times New Roman" w:eastAsia="宋体"/>
          <w:b/>
          <w:i w:val="0"/>
          <w:sz w:val="32"/>
        </w:rPr>
        <w:t>6 文章总体总结与接下来的优化操作</w:t>
      </w:r>
    </w:p>
    <w:p>
      <w:pPr>
        <w:pStyle w:val="Heading2"/>
        <w:keepNext/>
        <w:spacing w:before="160" w:after="120"/>
      </w:pPr>
      <w:r>
        <w:rPr>
          <w:rFonts w:ascii="Times New Roman" w:hAnsi="Times New Roman" w:eastAsia="宋体"/>
          <w:b/>
          <w:i w:val="0"/>
          <w:sz w:val="28"/>
        </w:rPr>
        <w:t>6.1 总体总结</w:t>
      </w:r>
    </w:p>
    <w:p>
      <w:pPr>
        <w:spacing w:before="0" w:after="0" w:line="360" w:lineRule="auto"/>
        <w:ind w:firstLine="420"/>
        <w:jc w:val="both"/>
      </w:pPr>
      <w:r>
        <w:rPr>
          <w:rFonts w:ascii="Times New Roman" w:hAnsi="Times New Roman" w:eastAsia="宋体"/>
          <w:b w:val="0"/>
          <w:i w:val="0"/>
          <w:sz w:val="24"/>
        </w:rPr>
        <w:t>本文已从分散的队形、接收机和状态搜索尝试中收缩出一条可检验主线。问题 1 解释公共目标状态误差为何限制多节点融合，问题 2 用数据隔离的共享 MAP 更新恢复目标字典。OTFS 的作用落实在运动目标的时延多普勒联合表征，6 UAV 与 3 目标是该一般模型的一个具体案例。误差不再只用米表示，而以 r 等于偏差除以先验标准差表征，再映射到工程尺度。</w:t>
      </w:r>
    </w:p>
    <w:p>
      <w:pPr>
        <w:spacing w:before="0" w:after="0" w:line="360" w:lineRule="auto"/>
        <w:ind w:firstLine="420"/>
        <w:jc w:val="both"/>
      </w:pPr>
      <w:r>
        <w:rPr>
          <w:rFonts w:ascii="Times New Roman" w:hAnsi="Times New Roman" w:eastAsia="宋体"/>
          <w:b w:val="0"/>
          <w:i w:val="0"/>
          <w:sz w:val="24"/>
        </w:rPr>
        <w:t>当前最可靠的新证据是 12 场景信息保留率曲线。150 m 误差即 r 等于 1 时，六节点平均只保留约四分之一的真值字典信息；400 m 压力误差下约为 4%。探索性 Gate 1 显示共享交叉拟合可能闭合部分 oracle 缺口，但尚未达到确认性证据强度。论文结论必须保持这一区分。</w:t>
      </w:r>
    </w:p>
    <w:p>
      <w:pPr>
        <w:pStyle w:val="Heading2"/>
        <w:keepNext/>
        <w:spacing w:before="160" w:after="120"/>
      </w:pPr>
      <w:r>
        <w:rPr>
          <w:rFonts w:ascii="Times New Roman" w:hAnsi="Times New Roman" w:eastAsia="宋体"/>
          <w:b/>
          <w:i w:val="0"/>
          <w:sz w:val="28"/>
        </w:rPr>
        <w:t>6.2 分阶段实验计划</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191"/>
            <w:shd w:fill="D9E2F3"/>
            <w:vAlign w:val="center"/>
            <w:tcMar>
              <w:top w:w="70" w:type="dxa"/>
              <w:start w:w="90" w:type="dxa"/>
              <w:bottom w:w="70" w:type="dxa"/>
              <w:end w:w="90" w:type="dxa"/>
            </w:tcMar>
          </w:tcPr>
          <w:p>
            <w:pPr>
              <w:jc w:val="center"/>
            </w:pPr>
            <w:r>
              <w:rPr>
                <w:rFonts w:ascii="Times New Roman" w:hAnsi="Times New Roman" w:eastAsia="宋体"/>
                <w:b/>
                <w:i w:val="0"/>
                <w:sz w:val="24"/>
              </w:rPr>
              <w:t>阶段</w:t>
            </w:r>
          </w:p>
        </w:tc>
        <w:tc>
          <w:tcPr>
            <w:tcW w:type="dxa" w:w="2551"/>
            <w:shd w:fill="D9E2F3"/>
            <w:vAlign w:val="center"/>
            <w:tcMar>
              <w:top w:w="70" w:type="dxa"/>
              <w:start w:w="90" w:type="dxa"/>
              <w:bottom w:w="70" w:type="dxa"/>
              <w:end w:w="90" w:type="dxa"/>
            </w:tcMar>
          </w:tcPr>
          <w:p>
            <w:pPr>
              <w:jc w:val="center"/>
            </w:pPr>
            <w:r>
              <w:rPr>
                <w:rFonts w:ascii="Times New Roman" w:hAnsi="Times New Roman" w:eastAsia="宋体"/>
                <w:b/>
                <w:i w:val="0"/>
                <w:sz w:val="24"/>
              </w:rPr>
              <w:t>实验</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最小产出</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继续条件</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A 已完成</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共享失配信息保留率</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12 场景，r 分层，M 等于 1 至 6</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趋势单调且 M 不恢复均值</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B 单场景已修复</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正式单目标检测曲线</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r 等于 0、0.33、1、1.67；20 m 间距</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先用 r=0 标定门禁再扩样</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C</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数据隔离与共享性消融</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self、local、shared、oracle</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PFA 受控且 shared 优于 local</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D</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三目标泛化</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逐目标 PD 与 min q PD</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优势不是单一目标特例</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E 可选</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belief aware 队形</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随机、单视角、双视角对照</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仅当 B 到 D 通过</w:t>
            </w:r>
          </w:p>
        </w:tc>
      </w:tr>
    </w:tbl>
    <w:p>
      <w:pPr>
        <w:spacing w:after="0"/>
      </w:pPr>
    </w:p>
    <w:p>
      <w:pPr>
        <w:spacing w:before="0" w:after="0" w:line="360" w:lineRule="auto"/>
        <w:ind w:firstLine="420"/>
        <w:jc w:val="both"/>
      </w:pPr>
      <w:r>
        <w:rPr>
          <w:rFonts w:ascii="Times New Roman" w:hAnsi="Times New Roman" w:eastAsia="宋体"/>
          <w:b w:val="0"/>
          <w:i w:val="0"/>
          <w:sz w:val="24"/>
        </w:rPr>
        <w:t>阶段 B 的正式误差档采用 r 等于 0、0.33、1 和 1.67。若 sigma p 等于 150 m，对应 0、50、150 和 250 m。400 m 即 r 等于 2.67 只作为压力测试，不能与常规工作区混合汇总。每个误差档分别用 calibration 集的 H0 样本标定门限，AUC 与 PD 只在 test 集计算。主终点为配对 AUC 差；PD、PFA、状态中位误差、RMSE 和运行时间为次终点。</w:t>
      </w:r>
    </w:p>
    <w:p>
      <w:pPr>
        <w:pStyle w:val="Heading2"/>
        <w:keepNext/>
        <w:spacing w:before="160" w:after="120"/>
      </w:pPr>
      <w:r>
        <w:rPr>
          <w:rFonts w:ascii="Times New Roman" w:hAnsi="Times New Roman" w:eastAsia="宋体"/>
          <w:b/>
          <w:i w:val="0"/>
          <w:sz w:val="28"/>
        </w:rPr>
        <w:t>6.3 统计与停止规则</w:t>
      </w:r>
    </w:p>
    <w:p>
      <w:pPr>
        <w:pStyle w:val="ListBullet"/>
        <w:spacing w:after="40"/>
        <w:ind w:left="420" w:hanging="210"/>
      </w:pPr>
      <w:r>
        <w:rPr>
          <w:rFonts w:ascii="Times New Roman" w:hAnsi="Times New Roman" w:eastAsia="宋体"/>
          <w:b w:val="0"/>
          <w:i w:val="0"/>
          <w:sz w:val="24"/>
        </w:rPr>
        <w:t>正式实验前先用 8 至 12 个场景估计配对差标准差，再进行样本量计算。</w:t>
      </w:r>
    </w:p>
    <w:p>
      <w:pPr>
        <w:pStyle w:val="ListBullet"/>
        <w:spacing w:after="40"/>
        <w:ind w:left="420" w:hanging="210"/>
      </w:pPr>
      <w:r>
        <w:rPr>
          <w:rFonts w:ascii="Times New Roman" w:hAnsi="Times New Roman" w:eastAsia="宋体"/>
          <w:b w:val="0"/>
          <w:i w:val="0"/>
          <w:sz w:val="24"/>
        </w:rPr>
        <w:t>任何新机制若使所需场景数超过 100，先修复方差来源，不直接扩大实验。</w:t>
      </w:r>
    </w:p>
    <w:p>
      <w:pPr>
        <w:pStyle w:val="ListBullet"/>
        <w:spacing w:after="40"/>
        <w:ind w:left="420" w:hanging="210"/>
      </w:pPr>
      <w:r>
        <w:rPr>
          <w:rFonts w:ascii="Times New Roman" w:hAnsi="Times New Roman" w:eastAsia="宋体"/>
          <w:b w:val="0"/>
          <w:i w:val="0"/>
          <w:sz w:val="24"/>
        </w:rPr>
        <w:t>所有方法使用相同场景、随机种子和几何，报告配对差与 bootstrap 区间。</w:t>
      </w:r>
    </w:p>
    <w:p>
      <w:pPr>
        <w:pStyle w:val="ListBullet"/>
        <w:spacing w:after="40"/>
        <w:ind w:left="420" w:hanging="210"/>
      </w:pPr>
      <w:r>
        <w:rPr>
          <w:rFonts w:ascii="Times New Roman" w:hAnsi="Times New Roman" w:eastAsia="宋体"/>
          <w:b w:val="0"/>
          <w:i w:val="0"/>
          <w:sz w:val="24"/>
        </w:rPr>
        <w:t>PFA 门限只使用 calibration 的 H0；test 数据不得参与门限或求解器选择。</w:t>
      </w:r>
    </w:p>
    <w:p>
      <w:pPr>
        <w:pStyle w:val="ListBullet"/>
        <w:spacing w:after="40"/>
        <w:ind w:left="420" w:hanging="210"/>
      </w:pPr>
      <w:r>
        <w:rPr>
          <w:rFonts w:ascii="Times New Roman" w:hAnsi="Times New Roman" w:eastAsia="宋体"/>
          <w:b w:val="0"/>
          <w:i w:val="0"/>
          <w:sz w:val="24"/>
        </w:rPr>
        <w:t>若 shared 未稳定优于 local，则删去共享建模创新点，只保留状态失配诊断。</w:t>
      </w:r>
    </w:p>
    <w:p>
      <w:pPr>
        <w:pStyle w:val="ListBullet"/>
        <w:spacing w:after="40"/>
        <w:ind w:left="420" w:hanging="210"/>
      </w:pPr>
      <w:r>
        <w:rPr>
          <w:rFonts w:ascii="Times New Roman" w:hAnsi="Times New Roman" w:eastAsia="宋体"/>
          <w:b w:val="0"/>
          <w:i w:val="0"/>
          <w:sz w:val="24"/>
        </w:rPr>
        <w:t>若问题 2 未通过，不启动队形优化正式实验。</w:t>
      </w:r>
    </w:p>
    <w:p>
      <w:pPr>
        <w:pStyle w:val="Heading2"/>
        <w:keepNext/>
        <w:spacing w:before="160" w:after="120"/>
      </w:pPr>
      <w:r>
        <w:rPr>
          <w:rFonts w:ascii="Times New Roman" w:hAnsi="Times New Roman" w:eastAsia="宋体"/>
          <w:b/>
          <w:i w:val="0"/>
          <w:sz w:val="28"/>
        </w:rPr>
        <w:t>6.4 近期实现操作</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020"/>
            <w:shd w:fill="D9E2F3"/>
            <w:vAlign w:val="center"/>
            <w:tcMar>
              <w:top w:w="70" w:type="dxa"/>
              <w:start w:w="90" w:type="dxa"/>
              <w:bottom w:w="70" w:type="dxa"/>
              <w:end w:w="90" w:type="dxa"/>
            </w:tcMar>
          </w:tcPr>
          <w:p>
            <w:pPr>
              <w:jc w:val="center"/>
            </w:pPr>
            <w:r>
              <w:rPr>
                <w:rFonts w:ascii="Times New Roman" w:hAnsi="Times New Roman" w:eastAsia="宋体"/>
                <w:b/>
                <w:i w:val="0"/>
                <w:sz w:val="24"/>
              </w:rPr>
              <w:t>优先级</w:t>
            </w:r>
          </w:p>
        </w:tc>
        <w:tc>
          <w:tcPr>
            <w:tcW w:type="dxa" w:w="3005"/>
            <w:shd w:fill="D9E2F3"/>
            <w:vAlign w:val="center"/>
            <w:tcMar>
              <w:top w:w="70" w:type="dxa"/>
              <w:start w:w="90" w:type="dxa"/>
              <w:bottom w:w="70" w:type="dxa"/>
              <w:end w:w="90" w:type="dxa"/>
            </w:tcMar>
          </w:tcPr>
          <w:p>
            <w:pPr>
              <w:jc w:val="center"/>
            </w:pPr>
            <w:r>
              <w:rPr>
                <w:rFonts w:ascii="Times New Roman" w:hAnsi="Times New Roman" w:eastAsia="宋体"/>
                <w:b/>
                <w:i w:val="0"/>
                <w:sz w:val="24"/>
              </w:rPr>
              <w:t>操作</w:t>
            </w:r>
          </w:p>
        </w:tc>
        <w:tc>
          <w:tcPr>
            <w:tcW w:type="dxa" w:w="2438"/>
            <w:shd w:fill="D9E2F3"/>
            <w:vAlign w:val="center"/>
            <w:tcMar>
              <w:top w:w="70" w:type="dxa"/>
              <w:start w:w="90" w:type="dxa"/>
              <w:bottom w:w="70" w:type="dxa"/>
              <w:end w:w="90" w:type="dxa"/>
            </w:tcMar>
          </w:tcPr>
          <w:p>
            <w:pPr>
              <w:jc w:val="center"/>
            </w:pPr>
            <w:r>
              <w:rPr>
                <w:rFonts w:ascii="Times New Roman" w:hAnsi="Times New Roman" w:eastAsia="宋体"/>
                <w:b/>
                <w:i w:val="0"/>
                <w:sz w:val="24"/>
              </w:rPr>
              <w:t>实现位置</w:t>
            </w:r>
          </w:p>
        </w:tc>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预计成本</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冻结 coarse to fine 共享 cross fit 为主方法</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target_state fit 与 crossfit</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无新增运行成本</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建立新的正式分层驱动并锁定 20 m 约束</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tools 与 direction4 data</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开发与冒烟约半天</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先跑每档 8 至 12 场景估计方差</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r 等于 0、0.33、1、1.67</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约 2 至 4 小时</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P1</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按功效分析扩展确认性样本</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仅扩展通过冒烟的档位</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由实测方差决定</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P1</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补独立节点误差与速度误差机制消融</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问题 1 扩展</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分钟到小时级</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P2</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三目标 min q PD 泛化</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问题 2 扩展</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确认性曲线通过后</w:t>
            </w:r>
          </w:p>
        </w:tc>
      </w:tr>
    </w:tbl>
    <w:p>
      <w:pPr>
        <w:spacing w:after="0"/>
      </w:pPr>
    </w:p>
    <w:p>
      <w:pPr>
        <w:pStyle w:val="Heading1"/>
        <w:keepNext/>
        <w:spacing w:before="240" w:after="120"/>
      </w:pPr>
      <w:r>
        <w:rPr>
          <w:rFonts w:ascii="Times New Roman" w:hAnsi="Times New Roman" w:eastAsia="宋体"/>
          <w:b/>
          <w:i w:val="0"/>
          <w:sz w:val="32"/>
        </w:rPr>
        <w:t>参考文献</w:t>
      </w:r>
    </w:p>
    <w:p>
      <w:pPr>
        <w:spacing w:line="300" w:lineRule="auto" w:after="60"/>
        <w:ind w:left="420" w:hanging="420"/>
      </w:pPr>
      <w:r>
        <w:rPr>
          <w:rFonts w:ascii="Times New Roman" w:hAnsi="Times New Roman" w:eastAsia="宋体"/>
          <w:b w:val="0"/>
          <w:i w:val="0"/>
          <w:sz w:val="24"/>
        </w:rPr>
        <w:t>[1] Liu F, Cui Y, Masouros C, et al. Integrated Sensing and Communications: Toward Dual-Functional Wireless Networks for 6G and Beyond. IEEE Journal on Selected Areas in Communications, 2022, 40(6): 1728-1767. DOI: 10.1109/JSAC.2022.3156632.</w:t>
      </w:r>
    </w:p>
    <w:p>
      <w:pPr>
        <w:spacing w:line="300" w:lineRule="auto" w:after="60"/>
        <w:ind w:left="420" w:hanging="420"/>
      </w:pPr>
      <w:r>
        <w:rPr>
          <w:rFonts w:ascii="Times New Roman" w:hAnsi="Times New Roman" w:eastAsia="宋体"/>
          <w:b w:val="0"/>
          <w:i w:val="0"/>
          <w:sz w:val="24"/>
        </w:rPr>
        <w:t>[2] Gaudio L, Kobayashi M, Caire G, Colavolpe G. On the Effectiveness of OTFS for Joint Radar Parameter Estimation and Communication. IEEE Transactions on Wireless Communications, 2020, 19(9): 5951-5965. DOI: 10.1109/TWC.2020.2998583.</w:t>
      </w:r>
    </w:p>
    <w:p>
      <w:pPr>
        <w:spacing w:line="300" w:lineRule="auto" w:after="60"/>
        <w:ind w:left="420" w:hanging="420"/>
      </w:pPr>
      <w:r>
        <w:rPr>
          <w:rFonts w:ascii="Times New Roman" w:hAnsi="Times New Roman" w:eastAsia="宋体"/>
          <w:b w:val="0"/>
          <w:i w:val="0"/>
          <w:sz w:val="24"/>
        </w:rPr>
        <w:t>[3] Shtaiwi E, Abdelhadi A, Li H, et al. Orthogonal Time Frequency Space for Integrated Sensing and Communication: A Survey. arXiv:2402.09637, 2024.</w:t>
      </w:r>
    </w:p>
    <w:p>
      <w:pPr>
        <w:spacing w:line="300" w:lineRule="auto" w:after="60"/>
        <w:ind w:left="420" w:hanging="420"/>
      </w:pPr>
      <w:r>
        <w:rPr>
          <w:rFonts w:ascii="Times New Roman" w:hAnsi="Times New Roman" w:eastAsia="宋体"/>
          <w:b w:val="0"/>
          <w:i w:val="0"/>
          <w:sz w:val="24"/>
        </w:rPr>
        <w:t>[4] Meng K, Wu Q, Xu J, et al. UAV-Enabled Integrated Sensing and Communication: Opportunities and Challenges. arXiv:2206.03408, 2022.</w:t>
      </w:r>
    </w:p>
    <w:p>
      <w:pPr>
        <w:spacing w:line="300" w:lineRule="auto" w:after="60"/>
        <w:ind w:left="420" w:hanging="420"/>
      </w:pPr>
      <w:r>
        <w:rPr>
          <w:rFonts w:ascii="Times New Roman" w:hAnsi="Times New Roman" w:eastAsia="宋体"/>
          <w:b w:val="0"/>
          <w:i w:val="0"/>
          <w:sz w:val="24"/>
        </w:rPr>
        <w:t>[5] Haimovich A M, Blum R S, Cimini L J. MIMO Radar with Widely Separated Antennas. IEEE Signal Processing Magazine, 2008, 25(1): 116-129. DOI: 10.1109/MSP.2008.4408448.</w:t>
      </w:r>
    </w:p>
    <w:p>
      <w:pPr>
        <w:spacing w:line="300" w:lineRule="auto" w:after="60"/>
        <w:ind w:left="420" w:hanging="420"/>
      </w:pPr>
      <w:r>
        <w:rPr>
          <w:rFonts w:ascii="Times New Roman" w:hAnsi="Times New Roman" w:eastAsia="宋体"/>
          <w:b w:val="0"/>
          <w:i w:val="0"/>
          <w:sz w:val="24"/>
        </w:rPr>
        <w:t>[6] Chernozhukov V, Chetverikov D, Demirer M, et al. Double Debiased Machine Learning for Treatment and Structural Parameters. The Econometrics Journal, 2018, 21(1): C1-C68. DOI: 10.1111/ectj.12097.</w:t>
      </w:r>
    </w:p>
    <w:p>
      <w:pPr>
        <w:spacing w:line="300" w:lineRule="auto" w:after="60"/>
        <w:ind w:left="420" w:hanging="420"/>
      </w:pPr>
      <w:r>
        <w:rPr>
          <w:rFonts w:ascii="Times New Roman" w:hAnsi="Times New Roman" w:eastAsia="宋体"/>
          <w:b w:val="0"/>
          <w:i w:val="0"/>
          <w:sz w:val="24"/>
        </w:rPr>
        <w:t>[7] Nordio A, Chiasserini C F, Viterbo E. Joint Communication and Sensing in OTFS-Based UAV Networks. arXiv:2311.17742, 2023; IEEE Xplore document 10891196.</w:t>
      </w:r>
    </w:p>
    <w:p>
      <w:pPr>
        <w:spacing w:line="300" w:lineRule="auto" w:after="60"/>
        <w:ind w:left="420" w:hanging="420"/>
      </w:pPr>
      <w:r>
        <w:rPr>
          <w:rFonts w:ascii="Times New Roman" w:hAnsi="Times New Roman" w:eastAsia="宋体"/>
          <w:b w:val="0"/>
          <w:i w:val="0"/>
          <w:sz w:val="24"/>
        </w:rPr>
        <w:t>[8] 陈佳彬, 王朝炜, 庞明亮, 等. 基于 OTFS 的通感一体化主动信道感知与低空多目标探测. 物联网学报, 2024, 8(3).</w:t>
      </w:r>
    </w:p>
    <w:p>
      <w:pPr>
        <w:spacing w:line="300" w:lineRule="auto" w:after="60"/>
        <w:ind w:left="420" w:hanging="420"/>
      </w:pPr>
      <w:r>
        <w:rPr>
          <w:rFonts w:ascii="Times New Roman" w:hAnsi="Times New Roman" w:eastAsia="宋体"/>
          <w:b w:val="0"/>
          <w:i w:val="0"/>
          <w:sz w:val="24"/>
        </w:rPr>
        <w:t>[9] 赵千禧, 刘嘉宁, 王帝文, 田峰. 基于 OTFS 的通感一体化感知目标参数估计新算法. 数据采集与处理, 2025. DOI: 10.16337/j.1004-9037.2025.06.003.</w:t>
      </w:r>
    </w:p>
    <w:p>
      <w:pPr>
        <w:spacing w:line="300" w:lineRule="auto" w:after="60"/>
        <w:ind w:left="420" w:hanging="420"/>
      </w:pPr>
      <w:r>
        <w:rPr>
          <w:rFonts w:ascii="Times New Roman" w:hAnsi="Times New Roman" w:eastAsia="宋体"/>
          <w:b w:val="0"/>
          <w:i w:val="0"/>
          <w:sz w:val="24"/>
        </w:rPr>
        <w:t>[10] Qing C, Liu Z, Hu W, et al. Environmental Sensing-Assisted Off-Grid Channel Estimation in UAV-Enabled OTFS-ISAC Systems. Chinese Journal of Aeronautics, 2026, 39(7). DOI: 10.1016/j.cja.2025.103923.</w:t>
      </w:r>
    </w:p>
    <w:p>
      <w:pPr>
        <w:spacing w:line="300" w:lineRule="auto" w:after="60"/>
        <w:ind w:left="420" w:hanging="420"/>
      </w:pPr>
      <w:r>
        <w:rPr>
          <w:rFonts w:ascii="Times New Roman" w:hAnsi="Times New Roman" w:eastAsia="宋体"/>
          <w:b w:val="0"/>
          <w:i w:val="0"/>
          <w:sz w:val="24"/>
        </w:rPr>
        <w:t>[11] 杨小龙, 于子亮, 张毅, 等. 基于 DD 域 LFM 脉冲信号嵌入的 OTFS 通感一体化波形设计. 电子学报, 2026: 1-9. DOI: 10.12263/DZXB.20260323.</w:t>
      </w:r>
    </w:p>
    <w:p>
      <w:pPr>
        <w:spacing w:line="300" w:lineRule="auto" w:after="60"/>
        <w:ind w:left="420" w:hanging="420"/>
      </w:pPr>
      <w:r>
        <w:rPr>
          <w:rFonts w:ascii="Times New Roman" w:hAnsi="Times New Roman" w:eastAsia="宋体"/>
          <w:b w:val="0"/>
          <w:i w:val="0"/>
          <w:sz w:val="24"/>
        </w:rPr>
        <w:t>[12] 毛炜昊, 陆杨, 等. 面向低空无线网络的网络化 ISAC 无人机集群部署和波束赋形协同优化. 电子学报, 2026, 54(6): 204-216. DOI: 10.12263/DZXB.20260121.</w:t>
      </w:r>
    </w:p>
    <w:p>
      <w:r>
        <w:br w:type="page"/>
      </w:r>
    </w:p>
    <w:p>
      <w:pPr>
        <w:pStyle w:val="Heading1"/>
        <w:keepNext/>
        <w:spacing w:before="240" w:after="120"/>
      </w:pPr>
      <w:r>
        <w:rPr>
          <w:rFonts w:ascii="Times New Roman" w:hAnsi="Times New Roman" w:eastAsia="宋体"/>
          <w:b/>
          <w:i w:val="0"/>
          <w:sz w:val="32"/>
        </w:rPr>
        <w:t>附录 A 当前证据与论文表述边界</w:t>
      </w:r>
    </w:p>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证据</w:t>
            </w:r>
          </w:p>
        </w:tc>
        <w:tc>
          <w:tcPr>
            <w:tcW w:type="dxa" w:w="3231"/>
            <w:shd w:fill="D9E2F3"/>
            <w:vAlign w:val="center"/>
            <w:tcMar>
              <w:top w:w="70" w:type="dxa"/>
              <w:start w:w="90" w:type="dxa"/>
              <w:bottom w:w="70" w:type="dxa"/>
              <w:end w:w="90" w:type="dxa"/>
            </w:tcMar>
          </w:tcPr>
          <w:p>
            <w:pPr>
              <w:jc w:val="center"/>
            </w:pPr>
            <w:r>
              <w:rPr>
                <w:rFonts w:ascii="Times New Roman" w:hAnsi="Times New Roman" w:eastAsia="宋体"/>
                <w:b/>
                <w:i w:val="0"/>
                <w:sz w:val="24"/>
              </w:rPr>
              <w:t>可写表述</w:t>
            </w:r>
          </w:p>
        </w:tc>
        <w:tc>
          <w:tcPr>
            <w:tcW w:type="dxa" w:w="3118"/>
            <w:shd w:fill="D9E2F3"/>
            <w:vAlign w:val="center"/>
            <w:tcMar>
              <w:top w:w="70" w:type="dxa"/>
              <w:start w:w="90" w:type="dxa"/>
              <w:bottom w:w="70" w:type="dxa"/>
              <w:end w:w="90" w:type="dxa"/>
            </w:tcMar>
          </w:tcPr>
          <w:p>
            <w:pPr>
              <w:jc w:val="center"/>
            </w:pPr>
            <w:r>
              <w:rPr>
                <w:rFonts w:ascii="Times New Roman" w:hAnsi="Times New Roman" w:eastAsia="宋体"/>
                <w:b/>
                <w:i w:val="0"/>
                <w:sz w:val="24"/>
              </w:rPr>
              <w:t>不可写表述</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12 场景信息保留率</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共享失配随 r 增大显著削弱字典重合</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已经证明 PD 必然按相同比例下降</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Gate 1 150 m</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shared cross fit 显示 AUC 和 PD 有利趋势</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方法已显著优于全部基线</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单场景 oracle</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该异常场景的低 PD 主要由 belief 失配解释</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所有低 PD 都由同一原因产生</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WLS 小样本</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WLS 更快但该试验中状态恢复不足</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WLS 普遍无效</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Top K 配对消融</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改善对少数场景敏感</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边界假峰已被证实为唯一病因</w:t>
            </w:r>
          </w:p>
        </w:tc>
      </w:tr>
    </w:tbl>
    <w:p>
      <w:pPr>
        <w:spacing w:after="0"/>
      </w:pP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A5A5A"/>
        <w:sz w:val="18"/>
      </w:rPr>
      <w:t>多无人机 OTFS 通感一体化共享状态失配研究阶段报告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宋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