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psmdcp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pkgRId0" /><Relationship Type="http://schemas.openxmlformats.org/officeDocument/2006/relationships/extended-properties" Target="docProps/app.xml" Id="R08e985f8ceed400c" /><Relationship Type="http://schemas.openxmlformats.org/package/2006/relationships/metadata/core-properties" Target="package/services/metadata/core-properties/bbafb1d6723b4e06ac12bd11808de05e.psmdcp" Id="R193c35ca8d98454b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body>
    <w:tbl>
      <w:tblPr>
        <w:tblW w:w="0" w:type="dxa"/>
      </w:tblPr>
      <w:tblGrid>
        <w:gridCol w:w="9360"/>
      </w:tblGrid>
      <w:tr xmlns:wp14="http://schemas.microsoft.com/office/word/2010/wordml" w:rsidTr="255D945D" w14:paraId="3C14EB14" wp14:textId="77777777">
        <w:trPr>
          <w:trHeight w:val="1" w:hRule="atLeast"/>
          <w:jc w:val="left"/>
        </w:trPr>
        <w:tc>
          <w:tcPr>
            <w:tcW w:w="93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auto" w:fill="1B3A6B"/>
            <w:tcMar>
              <w:left w:w="360" w:type="dxa"/>
              <w:right w:w="360" w:type="dxa"/>
            </w:tcMar>
            <w:vAlign w:val="top"/>
          </w:tcPr>
          <w:p w:rsidP="255D945D" w14:paraId="4528BC54" wp14:textId="77777777">
            <w:pPr>
              <w:spacing w:before="0" w:after="0" w:line="240" w:lineRule="auto"/>
              <w:ind w:left="0" w:right="0" w:firstLine="0"/>
              <w:jc w:val="center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255D945D" w:rsidR="255D945D">
              <w:rPr>
                <w:rFonts w:ascii="Segoe UI Symbol" w:hAnsi="Segoe UI Symbol" w:eastAsia="Segoe UI Symbol" w:cs="Segoe UI Symbol"/>
                <w:b w:val="1"/>
                <w:bCs w:val="1"/>
                <w:color w:val="FFFFFF"/>
                <w:spacing w:val="0"/>
                <w:position w:val="0"/>
                <w:sz w:val="52"/>
                <w:szCs w:val="52"/>
                <w:shd w:val="clear" w:fill="auto"/>
                <w:lang w:val="en-US"/>
              </w:rPr>
              <w:t xml:space="preserve">🏏</w:t>
            </w:r>
            <w:r w:rsidRPr="255D945D" w:rsidR="255D945D">
              <w:rPr>
                <w:rFonts w:ascii="Arial" w:hAnsi="Arial" w:eastAsia="Arial" w:cs="Arial"/>
                <w:b w:val="1"/>
                <w:bCs w:val="1"/>
                <w:color w:val="FFFFFF"/>
                <w:spacing w:val="0"/>
                <w:position w:val="0"/>
                <w:sz w:val="52"/>
                <w:szCs w:val="52"/>
                <w:shd w:val="clear" w:fill="auto"/>
                <w:lang w:val="en-US"/>
              </w:rPr>
              <w:t xml:space="preserve">  IPL</w:t>
            </w:r>
            <w:r w:rsidRPr="255D945D" w:rsidR="255D945D">
              <w:rPr>
                <w:rFonts w:ascii="Arial" w:hAnsi="Arial" w:eastAsia="Arial" w:cs="Arial"/>
                <w:b w:val="1"/>
                <w:bCs w:val="1"/>
                <w:color w:val="FFFFFF"/>
                <w:spacing w:val="0"/>
                <w:position w:val="0"/>
                <w:sz w:val="52"/>
                <w:szCs w:val="52"/>
                <w:shd w:val="clear" w:fill="auto"/>
                <w:lang w:val="en-US"/>
              </w:rPr>
              <w:t xml:space="preserve"> DASHBOARD</w:t>
            </w:r>
          </w:p>
          <w:p w14:paraId="54AE3732" wp14:textId="77777777">
            <w:pPr>
              <w:spacing w:before="8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93C5FD"/>
                <w:spacing w:val="0"/>
                <w:position w:val="0"/>
                <w:sz w:val="32"/>
                <w:shd w:val="clear" w:fill="auto"/>
              </w:rPr>
              <w:t xml:space="preserve">Data Analysis Report</w:t>
            </w:r>
          </w:p>
        </w:tc>
      </w:tr>
    </w:tbl>
    <w:p xmlns:wp14="http://schemas.microsoft.com/office/word/2010/wordml" w14:paraId="672A6659" wp14:textId="77777777">
      <w:pPr>
        <w:spacing w:before="120" w:after="8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tbl>
      <w:tblPr>
        <w:tblW w:w="0" w:type="dxa"/>
      </w:tblPr>
      <w:tblGrid>
        <w:gridCol w:w="2340"/>
        <w:gridCol w:w="2340"/>
        <w:gridCol w:w="2340"/>
        <w:gridCol w:w="2340"/>
      </w:tblGrid>
      <w:tr xmlns:wp14="http://schemas.microsoft.com/office/word/2010/wordml" w:rsidTr="255D945D" w14:paraId="0A300222" wp14:textId="77777777">
        <w:trPr>
          <w:trHeight w:val="1" w:hRule="atLeast"/>
          <w:jc w:val="left"/>
        </w:trPr>
        <w:tc>
          <w:tcPr>
            <w:tcW w:w="234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DBEAFE"/>
            <w:tcMar>
              <w:left w:w="100" w:type="dxa"/>
              <w:right w:w="100" w:type="dxa"/>
            </w:tcMar>
            <w:vAlign w:val="center"/>
          </w:tcPr>
          <w:p w14:paraId="111B77A1" wp14:textId="77777777"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30"/>
                <w:shd w:val="clear" w:fill="auto"/>
              </w:rPr>
              <w:t xml:space="preserve">17</w:t>
            </w:r>
          </w:p>
          <w:p w14:paraId="162A2F24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6B7280"/>
                <w:spacing w:val="0"/>
                <w:position w:val="0"/>
                <w:sz w:val="18"/>
                <w:shd w:val="clear" w:fill="auto"/>
              </w:rPr>
              <w:t xml:space="preserve">Seasons Covered</w:t>
            </w:r>
          </w:p>
        </w:tc>
        <w:tc>
          <w:tcPr>
            <w:tcW w:w="234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4E59EDC4" wp14:textId="77777777"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D97706"/>
                <w:spacing w:val="0"/>
                <w:position w:val="0"/>
                <w:sz w:val="30"/>
                <w:shd w:val="clear" w:fill="auto"/>
              </w:rPr>
              <w:t xml:space="preserve">10+</w:t>
            </w:r>
          </w:p>
          <w:p w:rsidP="255D945D" w14:paraId="165454DE" wp14:textId="04647BC9">
            <w:pPr>
              <w:spacing w:before="0" w:after="0" w:line="240" w:lineRule="auto"/>
              <w:ind w:left="0" w:right="0" w:firstLine="0"/>
              <w:jc w:val="center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Teams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18"/>
                <w:szCs w:val="18"/>
                <w:shd w:val="clear" w:fill="auto"/>
                <w:lang w:val="en-US"/>
              </w:rPr>
              <w:t xml:space="preserve">Analyzed</w:t>
            </w:r>
          </w:p>
        </w:tc>
        <w:tc>
          <w:tcPr>
            <w:tcW w:w="234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78941E47" wp14:textId="77777777"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0D9488"/>
                <w:spacing w:val="0"/>
                <w:position w:val="0"/>
                <w:sz w:val="30"/>
                <w:shd w:val="clear" w:fill="auto"/>
              </w:rPr>
              <w:t xml:space="preserve">5</w:t>
            </w:r>
          </w:p>
          <w:p w14:paraId="23030AC8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6B7280"/>
                <w:spacing w:val="0"/>
                <w:position w:val="0"/>
                <w:sz w:val="18"/>
                <w:shd w:val="clear" w:fill="auto"/>
              </w:rPr>
              <w:t xml:space="preserve">Dashboard Pages</w:t>
            </w:r>
          </w:p>
        </w:tc>
        <w:tc>
          <w:tcPr>
            <w:tcW w:w="234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auto"/>
            <w:tcMar>
              <w:left w:w="100" w:type="dxa"/>
              <w:right w:w="100" w:type="dxa"/>
            </w:tcMar>
            <w:vAlign w:val="center"/>
          </w:tcPr>
          <w:p w14:paraId="10ACAD66" wp14:textId="77777777"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065F46"/>
                <w:spacing w:val="0"/>
                <w:position w:val="0"/>
                <w:sz w:val="30"/>
                <w:shd w:val="clear" w:fill="auto"/>
              </w:rPr>
              <w:t xml:space="preserve">15+</w:t>
            </w:r>
          </w:p>
          <w:p w14:paraId="4B91B9F8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6B7280"/>
                <w:spacing w:val="0"/>
                <w:position w:val="0"/>
                <w:sz w:val="18"/>
                <w:shd w:val="clear" w:fill="auto"/>
              </w:rPr>
              <w:t xml:space="preserve">Visuals</w:t>
            </w:r>
          </w:p>
        </w:tc>
      </w:tr>
    </w:tbl>
    <w:p xmlns:wp14="http://schemas.microsoft.com/office/word/2010/wordml" w14:paraId="29D6B04F" wp14:textId="77777777">
      <w:pPr>
        <w:spacing w:before="0" w:after="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</w:t>
      </w:r>
    </w:p>
    <w:p xmlns:wp14="http://schemas.microsoft.com/office/word/2010/wordml" w14:paraId="0A37501D" wp14:textId="77777777">
      <w:pPr>
        <w:spacing w:before="0" w:after="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tbl>
      <w:tblPr/>
      <w:tblGrid>
        <w:gridCol w:w="500"/>
        <w:gridCol w:w="8860"/>
      </w:tblGrid>
      <w:tr xmlns:wp14="http://schemas.microsoft.com/office/word/2010/wordml" w14:paraId="22A196B2" wp14:textId="77777777">
        <w:trPr>
          <w:trHeight w:val="1" w:hRule="atLeast"/>
          <w:jc w:val="left"/>
        </w:trPr>
        <w:tc>
          <w:tcPr>
            <w:tcW w:w="5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000000" w:fill="1b3a6b"/>
            <w:tcMar>
              <w:left w:w="120" w:type="dxa"/>
              <w:right w:w="120" w:type="dxa"/>
            </w:tcMar>
            <w:vAlign w:val="center"/>
          </w:tcPr>
          <w:p w14:paraId="649841BE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32"/>
                <w:shd w:val="clear" w:fill="auto"/>
              </w:rPr>
              <w:t xml:space="preserve">1</w:t>
            </w:r>
          </w:p>
        </w:tc>
        <w:tc>
          <w:tcPr>
            <w:tcW w:w="88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000000" w:fill="dbeafe"/>
            <w:tcMar>
              <w:left w:w="120" w:type="dxa"/>
              <w:right w:w="120" w:type="dxa"/>
            </w:tcMar>
            <w:vAlign w:val="top"/>
          </w:tcPr>
          <w:p w14:paraId="0BC9FAE4" wp14:textId="77777777">
            <w:pPr>
              <w:spacing w:before="0" w:after="0" w:line="240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28"/>
                <w:shd w:val="clear" w:fill="auto"/>
              </w:rPr>
              <w:t xml:space="preserve">Project Overview</w:t>
            </w:r>
          </w:p>
          <w:p w14:paraId="37C64370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2563EB"/>
                <w:spacing w:val="0"/>
                <w:position w:val="0"/>
                <w:sz w:val="20"/>
                <w:shd w:val="clear" w:fill="auto"/>
              </w:rPr>
              <w:t xml:space="preserve">Purpose, scope, and goals of the IPL Dashboard</w:t>
            </w:r>
          </w:p>
        </w:tc>
      </w:tr>
    </w:tbl>
    <w:p xmlns:wp14="http://schemas.microsoft.com/office/word/2010/wordml" w14:paraId="5DAB6C7B" wp14:textId="77777777">
      <w:pPr>
        <w:spacing w:before="60" w:after="4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:rsidP="255D945D" w14:paraId="5BB743AB" wp14:textId="62B8136B">
      <w:pPr>
        <w:spacing w:before="60" w:after="8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255D945D" w:rsidR="255D945D">
        <w:rPr>
          <w:rFonts w:ascii="Arial" w:hAnsi="Arial" w:eastAsia="Arial" w:cs="Arial"/>
          <w:color w:val="374151"/>
          <w:spacing w:val="0"/>
          <w:position w:val="0"/>
          <w:sz w:val="22"/>
          <w:szCs w:val="22"/>
          <w:shd w:val="clear" w:fill="auto"/>
          <w:lang w:val="en-US"/>
        </w:rPr>
        <w:t xml:space="preserve">This Power BI Dashboard provides a comprehensive, interactive analysis of the Indian Premier League (IPL) from its inaugural season in 2008 through the most recent editions. The project was developed to extract meaningful patterns from ball-by-ball match data, team standings, and player performance statistics </w:t>
      </w:r>
      <w:r w:rsidRPr="255D945D" w:rsidR="255D945D">
        <w:rPr>
          <w:rFonts w:ascii="Arial" w:hAnsi="Arial" w:eastAsia="Arial" w:cs="Arial"/>
          <w:color w:val="374151"/>
          <w:spacing w:val="0"/>
          <w:position w:val="0"/>
          <w:sz w:val="22"/>
          <w:szCs w:val="22"/>
          <w:shd w:val="clear" w:fill="auto"/>
          <w:lang w:val="en-US"/>
        </w:rPr>
        <w:t xml:space="preserve">—</w:t>
      </w:r>
      <w:r w:rsidRPr="255D945D" w:rsidR="255D945D">
        <w:rPr>
          <w:rFonts w:ascii="Arial" w:hAnsi="Arial" w:eastAsia="Arial" w:cs="Arial"/>
          <w:color w:val="374151"/>
          <w:spacing w:val="0"/>
          <w:position w:val="0"/>
          <w:sz w:val="22"/>
          <w:szCs w:val="22"/>
          <w:shd w:val="clear" w:fill="auto"/>
          <w:lang w:val="en-US"/>
        </w:rPr>
        <w:t xml:space="preserve"> and to present those patterns through carefully selected </w:t>
      </w:r>
      <w:r w:rsidRPr="255D945D" w:rsidR="255D945D">
        <w:rPr>
          <w:rFonts w:ascii="Arial" w:hAnsi="Arial" w:eastAsia="Arial" w:cs="Arial"/>
          <w:color w:val="374151"/>
          <w:spacing w:val="0"/>
          <w:position w:val="0"/>
          <w:sz w:val="22"/>
          <w:szCs w:val="22"/>
          <w:shd w:val="clear" w:fill="auto"/>
          <w:lang w:val="en-US"/>
        </w:rPr>
        <w:t xml:space="preserve">visualizations</w:t>
      </w:r>
      <w:r w:rsidRPr="255D945D" w:rsidR="255D945D">
        <w:rPr>
          <w:rFonts w:ascii="Arial" w:hAnsi="Arial" w:eastAsia="Arial" w:cs="Arial"/>
          <w:color w:val="374151"/>
          <w:spacing w:val="0"/>
          <w:position w:val="0"/>
          <w:sz w:val="22"/>
          <w:szCs w:val="22"/>
          <w:shd w:val="clear" w:fill="auto"/>
          <w:lang w:val="en-US"/>
        </w:rPr>
        <w:t xml:space="preserve"> that make complex cricket metrics </w:t>
      </w:r>
      <w:r w:rsidRPr="255D945D" w:rsidR="255D945D">
        <w:rPr>
          <w:rFonts w:ascii="Arial" w:hAnsi="Arial" w:eastAsia="Arial" w:cs="Arial"/>
          <w:color w:val="374151"/>
          <w:spacing w:val="0"/>
          <w:position w:val="0"/>
          <w:sz w:val="22"/>
          <w:szCs w:val="22"/>
          <w:shd w:val="clear" w:fill="auto"/>
          <w:lang w:val="en-US"/>
        </w:rPr>
        <w:t xml:space="preserve">immediately</w:t>
      </w:r>
      <w:r w:rsidRPr="255D945D" w:rsidR="255D945D">
        <w:rPr>
          <w:rFonts w:ascii="Arial" w:hAnsi="Arial" w:eastAsia="Arial" w:cs="Arial"/>
          <w:color w:val="374151"/>
          <w:spacing w:val="0"/>
          <w:position w:val="0"/>
          <w:sz w:val="22"/>
          <w:szCs w:val="22"/>
          <w:shd w:val="clear" w:fill="auto"/>
          <w:lang w:val="en-US"/>
        </w:rPr>
        <w:t xml:space="preserve"> accessible.</w:t>
      </w:r>
    </w:p>
    <w:p xmlns:wp14="http://schemas.microsoft.com/office/word/2010/wordml" w14:paraId="02EB378F" wp14:textId="77777777">
      <w:pPr>
        <w:spacing w:before="2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1744E18E" wp14:textId="77777777">
      <w:pPr>
        <w:spacing w:before="60" w:after="80" w:line="240"/>
        <w:ind w:left="0" w:right="0" w:firstLine="0"/>
        <w:jc w:val="left"/>
        <w:rPr>
          <w:rFonts w:ascii="Arial" w:hAnsi="Arial" w:eastAsia="Arial" w:cs="Arial"/>
          <w:color w:val="374151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374151"/>
          <w:spacing w:val="0"/>
          <w:position w:val="0"/>
          <w:sz w:val="22"/>
          <w:shd w:val="clear" w:fill="auto"/>
        </w:rPr>
        <w:t xml:space="preserve">The dashboard is structured into three primary analytical pages </w:t>
      </w:r>
      <w:r>
        <w:rPr>
          <w:rFonts w:ascii="Arial" w:hAnsi="Arial" w:eastAsia="Arial" w:cs="Arial"/>
          <w:color w:val="374151"/>
          <w:spacing w:val="0"/>
          <w:position w:val="0"/>
          <w:sz w:val="22"/>
          <w:shd w:val="clear" w:fill="auto"/>
        </w:rPr>
        <w:t xml:space="preserve">—</w:t>
      </w:r>
      <w:r>
        <w:rPr>
          <w:rFonts w:ascii="Arial" w:hAnsi="Arial" w:eastAsia="Arial" w:cs="Arial"/>
          <w:color w:val="374151"/>
          <w:spacing w:val="0"/>
          <w:position w:val="0"/>
          <w:sz w:val="22"/>
          <w:shd w:val="clear" w:fill="auto"/>
        </w:rPr>
        <w:t xml:space="preserve"> IPL Overview, Team Profile, and Player Profile </w:t>
      </w:r>
      <w:r>
        <w:rPr>
          <w:rFonts w:ascii="Arial" w:hAnsi="Arial" w:eastAsia="Arial" w:cs="Arial"/>
          <w:color w:val="374151"/>
          <w:spacing w:val="0"/>
          <w:position w:val="0"/>
          <w:sz w:val="22"/>
          <w:shd w:val="clear" w:fill="auto"/>
        </w:rPr>
        <w:t xml:space="preserve">—</w:t>
      </w:r>
      <w:r>
        <w:rPr>
          <w:rFonts w:ascii="Arial" w:hAnsi="Arial" w:eastAsia="Arial" w:cs="Arial"/>
          <w:color w:val="374151"/>
          <w:spacing w:val="0"/>
          <w:position w:val="0"/>
          <w:sz w:val="22"/>
          <w:shd w:val="clear" w:fill="auto"/>
        </w:rPr>
        <w:t xml:space="preserve"> with a supplementary Tooltip page, all connected through a clean navigation system.</w:t>
      </w:r>
    </w:p>
    <w:p xmlns:wp14="http://schemas.microsoft.com/office/word/2010/wordml" w14:paraId="6A05A809" wp14:textId="77777777">
      <w:pPr>
        <w:spacing w:before="60" w:after="8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7ECEC85F" wp14:textId="77777777">
      <w:pPr>
        <w:spacing w:before="200" w:after="80" w:line="240"/>
        <w:ind w:left="0" w:right="0" w:firstLine="0"/>
        <w:jc w:val="left"/>
        <w:rPr>
          <w:rFonts w:ascii="Arial" w:hAnsi="Arial" w:eastAsia="Arial" w:cs="Arial"/>
          <w:b/>
          <w:color w:val="374151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374151"/>
          <w:spacing w:val="0"/>
          <w:position w:val="0"/>
          <w:sz w:val="24"/>
          <w:shd w:val="clear" w:fill="auto"/>
        </w:rPr>
        <w:t xml:space="preserve">Project Goals</w:t>
      </w:r>
    </w:p>
    <w:p xmlns:wp14="http://schemas.microsoft.com/office/word/2010/wordml" w14:paraId="73852160" wp14:textId="77777777">
      <w:pPr>
        <w:numPr>
          <w:ilvl w:val="0"/>
          <w:numId w:val="19"/>
        </w:numPr>
        <w:spacing w:before="40" w:after="40" w:line="240"/>
        <w:ind w:left="720" w:right="0" w:hanging="36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374151"/>
          <w:spacing w:val="0"/>
          <w:position w:val="0"/>
          <w:sz w:val="21"/>
          <w:shd w:val="clear" w:fill="auto"/>
        </w:rPr>
        <w:t xml:space="preserve">Enable season-level analysis of match outcomes, stadium usage, and bowling discipline trends</w:t>
      </w:r>
    </w:p>
    <w:p xmlns:wp14="http://schemas.microsoft.com/office/word/2010/wordml" w14:paraId="6D439202" wp14:textId="77777777">
      <w:pPr>
        <w:numPr>
          <w:ilvl w:val="0"/>
          <w:numId w:val="19"/>
        </w:numPr>
        <w:spacing w:before="40" w:after="40" w:line="240"/>
        <w:ind w:left="720" w:right="0" w:hanging="36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374151"/>
          <w:spacing w:val="0"/>
          <w:position w:val="0"/>
          <w:sz w:val="21"/>
          <w:shd w:val="clear" w:fill="auto"/>
        </w:rPr>
        <w:t xml:space="preserve">Allow per-team drill-down into win/loss records, venue performance, and key contributors</w:t>
      </w:r>
    </w:p>
    <w:p xmlns:wp14="http://schemas.microsoft.com/office/word/2010/wordml" w14:paraId="786697F1" wp14:textId="77777777">
      <w:pPr>
        <w:numPr>
          <w:ilvl w:val="0"/>
          <w:numId w:val="19"/>
        </w:numPr>
        <w:spacing w:before="40" w:after="40" w:line="240"/>
        <w:ind w:left="720" w:right="0" w:hanging="36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374151"/>
          <w:spacing w:val="0"/>
          <w:position w:val="0"/>
          <w:sz w:val="21"/>
          <w:shd w:val="clear" w:fill="auto"/>
        </w:rPr>
        <w:t xml:space="preserve">Support player-level filtering to compare batting, bowling, and boundary-hitting statistics</w:t>
      </w:r>
    </w:p>
    <w:p xmlns:wp14="http://schemas.microsoft.com/office/word/2010/wordml" w14:paraId="307E28FD" wp14:textId="77777777">
      <w:pPr>
        <w:numPr>
          <w:ilvl w:val="0"/>
          <w:numId w:val="19"/>
        </w:numPr>
        <w:spacing w:before="40" w:after="40" w:line="240"/>
        <w:ind w:left="720" w:right="0" w:hanging="36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374151"/>
          <w:spacing w:val="0"/>
          <w:position w:val="0"/>
          <w:sz w:val="21"/>
          <w:shd w:val="clear" w:fill="auto"/>
        </w:rPr>
        <w:t xml:space="preserve">Demonstrate the power of Power BI slicers, dynamic measures (DAX), and ranked visuals</w:t>
      </w:r>
    </w:p>
    <w:p xmlns:wp14="http://schemas.microsoft.com/office/word/2010/wordml" w14:paraId="5A39BBE3" wp14:textId="77777777">
      <w:pPr>
        <w:spacing w:before="4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41C8F396" wp14:textId="77777777">
      <w:pPr>
        <w:spacing w:before="4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72A3D3EC" wp14:textId="77777777">
      <w:pPr>
        <w:spacing w:before="4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tbl>
      <w:tblPr/>
      <w:tblGrid>
        <w:gridCol w:w="500"/>
        <w:gridCol w:w="8860"/>
      </w:tblGrid>
      <w:tr xmlns:wp14="http://schemas.microsoft.com/office/word/2010/wordml" w14:paraId="7DD5B476" wp14:textId="77777777">
        <w:trPr>
          <w:trHeight w:val="1" w:hRule="atLeast"/>
          <w:jc w:val="left"/>
        </w:trPr>
        <w:tc>
          <w:tcPr>
            <w:tcW w:w="5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000000" w:fill="1b3a6b"/>
            <w:tcMar>
              <w:left w:w="120" w:type="dxa"/>
              <w:right w:w="120" w:type="dxa"/>
            </w:tcMar>
            <w:vAlign w:val="center"/>
          </w:tcPr>
          <w:p w14:paraId="18F999B5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32"/>
                <w:shd w:val="clear" w:fill="auto"/>
              </w:rPr>
              <w:t xml:space="preserve">2</w:t>
            </w:r>
          </w:p>
        </w:tc>
        <w:tc>
          <w:tcPr>
            <w:tcW w:w="88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000000" w:fill="dbeafe"/>
            <w:tcMar>
              <w:left w:w="120" w:type="dxa"/>
              <w:right w:w="120" w:type="dxa"/>
            </w:tcMar>
            <w:vAlign w:val="top"/>
          </w:tcPr>
          <w:p w14:paraId="5A64EDB5" wp14:textId="77777777">
            <w:pPr>
              <w:spacing w:before="0" w:after="0" w:line="240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28"/>
                <w:shd w:val="clear" w:fill="auto"/>
              </w:rPr>
              <w:t xml:space="preserve">Dataset Description</w:t>
            </w:r>
          </w:p>
          <w:p w14:paraId="1BF545CF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2563EB"/>
                <w:spacing w:val="0"/>
                <w:position w:val="0"/>
                <w:sz w:val="20"/>
                <w:shd w:val="clear" w:fill="auto"/>
              </w:rPr>
              <w:t xml:space="preserve">Tables, fields, and data model structure</w:t>
            </w:r>
          </w:p>
        </w:tc>
      </w:tr>
    </w:tbl>
    <w:p xmlns:wp14="http://schemas.microsoft.com/office/word/2010/wordml" w14:paraId="0D0B940D" wp14:textId="77777777">
      <w:pPr>
        <w:spacing w:before="60" w:after="4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:rsidP="255D945D" w14:paraId="6F7B9977" wp14:textId="77777777">
      <w:pPr>
        <w:spacing w:before="60" w:after="8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255D945D" w:rsidR="255D945D">
        <w:rPr>
          <w:rFonts w:ascii="Arial" w:hAnsi="Arial" w:eastAsia="Arial" w:cs="Arial"/>
          <w:color w:val="374151"/>
          <w:spacing w:val="0"/>
          <w:position w:val="0"/>
          <w:sz w:val="22"/>
          <w:szCs w:val="22"/>
          <w:shd w:val="clear" w:fill="auto"/>
          <w:lang w:val="en-US"/>
        </w:rPr>
        <w:t xml:space="preserve">The data model behind the dashboard consists of several interlinked tables, each </w:t>
      </w:r>
      <w:r w:rsidRPr="255D945D" w:rsidR="255D945D">
        <w:rPr>
          <w:rFonts w:ascii="Arial" w:hAnsi="Arial" w:eastAsia="Arial" w:cs="Arial"/>
          <w:color w:val="374151"/>
          <w:spacing w:val="0"/>
          <w:position w:val="0"/>
          <w:sz w:val="22"/>
          <w:szCs w:val="22"/>
          <w:shd w:val="clear" w:fill="auto"/>
          <w:lang w:val="en-US"/>
        </w:rPr>
        <w:t xml:space="preserve">representing</w:t>
      </w:r>
      <w:r w:rsidRPr="255D945D" w:rsidR="255D945D">
        <w:rPr>
          <w:rFonts w:ascii="Arial" w:hAnsi="Arial" w:eastAsia="Arial" w:cs="Arial"/>
          <w:color w:val="374151"/>
          <w:spacing w:val="0"/>
          <w:position w:val="0"/>
          <w:sz w:val="22"/>
          <w:szCs w:val="22"/>
          <w:shd w:val="clear" w:fill="auto"/>
          <w:lang w:val="en-US"/>
        </w:rPr>
        <w:t xml:space="preserve"> a different grain of IPL data:</w:t>
      </w:r>
    </w:p>
    <w:p xmlns:wp14="http://schemas.microsoft.com/office/word/2010/wordml" w14:paraId="0E27B00A" wp14:textId="77777777">
      <w:pPr>
        <w:spacing w:before="2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tbl>
      <w:tblPr>
        <w:tblW w:w="0" w:type="dxa"/>
      </w:tblPr>
      <w:tblGrid>
        <w:gridCol w:w="2200"/>
        <w:gridCol w:w="3000"/>
        <w:gridCol w:w="4160"/>
      </w:tblGrid>
      <w:tr xmlns:wp14="http://schemas.microsoft.com/office/word/2010/wordml" w:rsidTr="255D945D" w14:paraId="2BF9E613" wp14:textId="77777777">
        <w:trPr>
          <w:trHeight w:val="1" w:hRule="atLeast"/>
          <w:jc w:val="left"/>
        </w:trPr>
        <w:tc>
          <w:tcPr>
            <w:tcW w:w="2200" w:type="dxa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val="clear" w:color="auto" w:fill="1B3A6B"/>
            <w:tcMar>
              <w:left w:w="120" w:type="dxa"/>
              <w:right w:w="120" w:type="dxa"/>
            </w:tcMar>
            <w:vAlign w:val="center"/>
          </w:tcPr>
          <w:p w14:paraId="06C00F87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0"/>
                <w:shd w:val="clear" w:fill="auto"/>
              </w:rPr>
              <w:t xml:space="preserve">Table Name</w:t>
            </w:r>
          </w:p>
        </w:tc>
        <w:tc>
          <w:tcPr>
            <w:tcW w:w="3000" w:type="dxa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val="clear" w:color="auto" w:fill="1B3A6B"/>
            <w:tcMar>
              <w:left w:w="120" w:type="dxa"/>
              <w:right w:w="120" w:type="dxa"/>
            </w:tcMar>
            <w:vAlign w:val="center"/>
          </w:tcPr>
          <w:p w14:paraId="55FDD9EA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0"/>
                <w:shd w:val="clear" w:fill="auto"/>
              </w:rPr>
              <w:t xml:space="preserve">Grain / Level</w:t>
            </w:r>
          </w:p>
        </w:tc>
        <w:tc>
          <w:tcPr>
            <w:tcW w:w="4160" w:type="dxa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val="clear" w:color="auto" w:fill="1B3A6B"/>
            <w:tcMar>
              <w:left w:w="120" w:type="dxa"/>
              <w:right w:w="120" w:type="dxa"/>
            </w:tcMar>
            <w:vAlign w:val="center"/>
          </w:tcPr>
          <w:p w14:paraId="7504D667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0"/>
                <w:shd w:val="clear" w:fill="auto"/>
              </w:rPr>
              <w:t xml:space="preserve">Key Fields</w:t>
            </w:r>
          </w:p>
        </w:tc>
      </w:tr>
      <w:tr xmlns:wp14="http://schemas.microsoft.com/office/word/2010/wordml" w:rsidTr="255D945D" w14:paraId="2271AC87" wp14:textId="77777777">
        <w:trPr>
          <w:trHeight w:val="1" w:hRule="atLeast"/>
          <w:jc w:val="left"/>
        </w:trPr>
        <w:tc>
          <w:tcPr>
            <w:tcW w:w="2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3F4F6"/>
            <w:tcMar>
              <w:left w:w="120" w:type="dxa"/>
              <w:right w:w="120" w:type="dxa"/>
            </w:tcMar>
            <w:vAlign w:val="center"/>
          </w:tcPr>
          <w:p w:rsidP="255D945D" w14:paraId="15660F86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b w:val="1"/>
                <w:bCs w:val="1"/>
                <w:color w:val="1B3A6B"/>
                <w:spacing w:val="0"/>
                <w:position w:val="0"/>
                <w:sz w:val="19"/>
                <w:szCs w:val="19"/>
                <w:shd w:val="clear" w:fill="auto"/>
                <w:lang w:val="en-US"/>
              </w:rPr>
              <w:t xml:space="preserve">season_summary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3F4F6"/>
            <w:tcMar>
              <w:left w:w="120" w:type="dxa"/>
              <w:right w:w="120" w:type="dxa"/>
            </w:tcMar>
            <w:vAlign w:val="center"/>
          </w:tcPr>
          <w:p w14:paraId="6207BA6D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19"/>
                <w:shd w:val="clear" w:fill="auto"/>
              </w:rPr>
              <w:t xml:space="preserve">One row per match / venue</w:t>
            </w:r>
          </w:p>
        </w:tc>
        <w:tc>
          <w:tcPr>
            <w:tcW w:w="4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3F4F6"/>
            <w:tcMar>
              <w:left w:w="120" w:type="dxa"/>
              <w:right w:w="120" w:type="dxa"/>
            </w:tcMar>
            <w:vAlign w:val="center"/>
          </w:tcPr>
          <w:p w:rsidP="255D945D" w14:paraId="6D8EB8D6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19"/>
                <w:szCs w:val="19"/>
                <w:shd w:val="clear" w:fill="auto"/>
                <w:lang w:val="en-US"/>
              </w:rPr>
              <w:t xml:space="preserve">season,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19"/>
                <w:szCs w:val="19"/>
                <w:shd w:val="clear" w:fill="auto"/>
                <w:lang w:val="en-US"/>
              </w:rPr>
              <w:t xml:space="preserve">venue_name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19"/>
                <w:szCs w:val="19"/>
                <w:shd w:val="clear" w:fill="auto"/>
                <w:lang w:val="en-US"/>
              </w:rPr>
              <w:t xml:space="preserve">,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19"/>
                <w:szCs w:val="19"/>
                <w:shd w:val="clear" w:fill="auto"/>
                <w:lang w:val="en-US"/>
              </w:rPr>
              <w:t xml:space="preserve">avg_inning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19"/>
                <w:szCs w:val="19"/>
                <w:shd w:val="clear" w:fill="auto"/>
                <w:lang w:val="en-US"/>
              </w:rPr>
              <w:t xml:space="preserve">,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19"/>
                <w:szCs w:val="19"/>
                <w:shd w:val="clear" w:fill="auto"/>
                <w:lang w:val="en-US"/>
              </w:rPr>
              <w:t xml:space="preserve">noballs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19"/>
                <w:szCs w:val="19"/>
                <w:shd w:val="clear" w:fill="auto"/>
                <w:lang w:val="en-US"/>
              </w:rPr>
              <w:t xml:space="preserve">, wide balls, TV umpire</w:t>
            </w:r>
          </w:p>
        </w:tc>
      </w:tr>
      <w:tr xmlns:wp14="http://schemas.microsoft.com/office/word/2010/wordml" w:rsidTr="255D945D" w14:paraId="0398B335" wp14:textId="77777777">
        <w:trPr>
          <w:trHeight w:val="1" w:hRule="atLeast"/>
          <w:jc w:val="left"/>
        </w:trPr>
        <w:tc>
          <w:tcPr>
            <w:tcW w:w="2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:rsidP="255D945D" w14:paraId="59D3C71C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b w:val="1"/>
                <w:bCs w:val="1"/>
                <w:color w:val="1B3A6B"/>
                <w:spacing w:val="0"/>
                <w:position w:val="0"/>
                <w:sz w:val="19"/>
                <w:szCs w:val="19"/>
                <w:shd w:val="clear" w:fill="auto"/>
                <w:lang w:val="en-US"/>
              </w:rPr>
              <w:t xml:space="preserve">season_batting_card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2CFCF4A9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19"/>
                <w:shd w:val="clear" w:fill="auto"/>
              </w:rPr>
              <w:t xml:space="preserve">One row per batter per match</w:t>
            </w:r>
          </w:p>
        </w:tc>
        <w:tc>
          <w:tcPr>
            <w:tcW w:w="4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:rsidP="255D945D" w14:paraId="388F4223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19"/>
                <w:szCs w:val="19"/>
                <w:shd w:val="clear" w:fill="auto"/>
                <w:lang w:val="en-US"/>
              </w:rPr>
              <w:t xml:space="preserve">fullName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19"/>
                <w:szCs w:val="19"/>
                <w:shd w:val="clear" w:fill="auto"/>
                <w:lang w:val="en-US"/>
              </w:rPr>
              <w:t xml:space="preserve">, runs, boundaries, season</w:t>
            </w:r>
          </w:p>
        </w:tc>
      </w:tr>
      <w:tr xmlns:wp14="http://schemas.microsoft.com/office/word/2010/wordml" w:rsidTr="255D945D" w14:paraId="651B66EB" wp14:textId="77777777">
        <w:trPr>
          <w:trHeight w:val="1" w:hRule="atLeast"/>
          <w:jc w:val="left"/>
        </w:trPr>
        <w:tc>
          <w:tcPr>
            <w:tcW w:w="2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3F4F6"/>
            <w:tcMar>
              <w:left w:w="120" w:type="dxa"/>
              <w:right w:w="120" w:type="dxa"/>
            </w:tcMar>
            <w:vAlign w:val="center"/>
          </w:tcPr>
          <w:p w:rsidP="255D945D" w14:paraId="51E46E75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b w:val="1"/>
                <w:bCs w:val="1"/>
                <w:color w:val="1B3A6B"/>
                <w:spacing w:val="0"/>
                <w:position w:val="0"/>
                <w:sz w:val="19"/>
                <w:szCs w:val="19"/>
                <w:shd w:val="clear" w:fill="auto"/>
                <w:lang w:val="en-US"/>
              </w:rPr>
              <w:t xml:space="preserve">season_bowling_card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3F4F6"/>
            <w:tcMar>
              <w:left w:w="120" w:type="dxa"/>
              <w:right w:w="120" w:type="dxa"/>
            </w:tcMar>
            <w:vAlign w:val="center"/>
          </w:tcPr>
          <w:p w14:paraId="4C3E018F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19"/>
                <w:shd w:val="clear" w:fill="auto"/>
              </w:rPr>
              <w:t xml:space="preserve">One row per bowler per match</w:t>
            </w:r>
          </w:p>
        </w:tc>
        <w:tc>
          <w:tcPr>
            <w:tcW w:w="4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3F4F6"/>
            <w:tcMar>
              <w:left w:w="120" w:type="dxa"/>
              <w:right w:w="120" w:type="dxa"/>
            </w:tcMar>
            <w:vAlign w:val="center"/>
          </w:tcPr>
          <w:p w:rsidP="255D945D" w14:paraId="578A06B5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19"/>
                <w:szCs w:val="19"/>
                <w:shd w:val="clear" w:fill="auto"/>
                <w:lang w:val="en-US"/>
              </w:rPr>
              <w:t xml:space="preserve">fullName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19"/>
                <w:szCs w:val="19"/>
                <w:shd w:val="clear" w:fill="auto"/>
                <w:lang w:val="en-US"/>
              </w:rPr>
              <w:t xml:space="preserve">, wickets,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19"/>
                <w:szCs w:val="19"/>
                <w:shd w:val="clear" w:fill="auto"/>
                <w:lang w:val="en-US"/>
              </w:rPr>
              <w:t xml:space="preserve">noballs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19"/>
                <w:szCs w:val="19"/>
                <w:shd w:val="clear" w:fill="auto"/>
                <w:lang w:val="en-US"/>
              </w:rPr>
              <w:t xml:space="preserve">, wide balls, season</w:t>
            </w:r>
          </w:p>
        </w:tc>
      </w:tr>
      <w:tr xmlns:wp14="http://schemas.microsoft.com/office/word/2010/wordml" w:rsidTr="255D945D" w14:paraId="3597C0A4" wp14:textId="77777777">
        <w:trPr>
          <w:trHeight w:val="1" w:hRule="atLeast"/>
          <w:jc w:val="left"/>
        </w:trPr>
        <w:tc>
          <w:tcPr>
            <w:tcW w:w="2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:rsidP="255D945D" w14:paraId="28BE3984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b w:val="1"/>
                <w:bCs w:val="1"/>
                <w:color w:val="1B3A6B"/>
                <w:spacing w:val="0"/>
                <w:position w:val="0"/>
                <w:sz w:val="19"/>
                <w:szCs w:val="19"/>
                <w:shd w:val="clear" w:fill="auto"/>
                <w:lang w:val="en-US"/>
              </w:rPr>
              <w:t xml:space="preserve">season_details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48473930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19"/>
                <w:shd w:val="clear" w:fill="auto"/>
              </w:rPr>
              <w:t xml:space="preserve">Ball-by-ball / over-level</w:t>
            </w:r>
          </w:p>
        </w:tc>
        <w:tc>
          <w:tcPr>
            <w:tcW w:w="4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02E0B447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6B7280"/>
                <w:spacing w:val="0"/>
                <w:position w:val="0"/>
                <w:sz w:val="19"/>
                <w:shd w:val="clear" w:fill="auto"/>
              </w:rPr>
              <w:t xml:space="preserve">batsman1_name, bowler1_name, runs, over, season</w:t>
            </w:r>
          </w:p>
        </w:tc>
      </w:tr>
      <w:tr xmlns:wp14="http://schemas.microsoft.com/office/word/2010/wordml" w:rsidTr="255D945D" w14:paraId="2A427E98" wp14:textId="77777777">
        <w:trPr>
          <w:trHeight w:val="1" w:hRule="atLeast"/>
          <w:jc w:val="left"/>
        </w:trPr>
        <w:tc>
          <w:tcPr>
            <w:tcW w:w="2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3F4F6"/>
            <w:tcMar>
              <w:left w:w="120" w:type="dxa"/>
              <w:right w:w="120" w:type="dxa"/>
            </w:tcMar>
            <w:vAlign w:val="center"/>
          </w:tcPr>
          <w:p w:rsidP="255D945D" w14:paraId="2A78416F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b w:val="1"/>
                <w:bCs w:val="1"/>
                <w:color w:val="1B3A6B"/>
                <w:spacing w:val="0"/>
                <w:position w:val="0"/>
                <w:sz w:val="19"/>
                <w:szCs w:val="19"/>
                <w:shd w:val="clear" w:fill="auto"/>
                <w:lang w:val="en-US"/>
              </w:rPr>
              <w:t xml:space="preserve">points_table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3F4F6"/>
            <w:tcMar>
              <w:left w:w="120" w:type="dxa"/>
              <w:right w:w="120" w:type="dxa"/>
            </w:tcMar>
            <w:vAlign w:val="center"/>
          </w:tcPr>
          <w:p w14:paraId="5F2E8CA7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19"/>
                <w:shd w:val="clear" w:fill="auto"/>
              </w:rPr>
              <w:t xml:space="preserve">Team standings per season</w:t>
            </w:r>
          </w:p>
        </w:tc>
        <w:tc>
          <w:tcPr>
            <w:tcW w:w="4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3F4F6"/>
            <w:tcMar>
              <w:left w:w="120" w:type="dxa"/>
              <w:right w:w="120" w:type="dxa"/>
            </w:tcMar>
            <w:vAlign w:val="center"/>
          </w:tcPr>
          <w:p w:rsidP="255D945D" w14:paraId="0AF1AD5C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19"/>
                <w:szCs w:val="19"/>
                <w:shd w:val="clear" w:fill="auto"/>
                <w:lang w:val="en-US"/>
              </w:rPr>
              <w:t xml:space="preserve">name,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19"/>
                <w:szCs w:val="19"/>
                <w:shd w:val="clear" w:fill="auto"/>
                <w:lang w:val="en-US"/>
              </w:rPr>
              <w:t xml:space="preserve">short_name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19"/>
                <w:szCs w:val="19"/>
                <w:shd w:val="clear" w:fill="auto"/>
                <w:lang w:val="en-US"/>
              </w:rPr>
              <w:t xml:space="preserve">,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19"/>
                <w:szCs w:val="19"/>
                <w:shd w:val="clear" w:fill="auto"/>
                <w:lang w:val="en-US"/>
              </w:rPr>
              <w:t xml:space="preserve">matchesplayed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19"/>
                <w:szCs w:val="19"/>
                <w:shd w:val="clear" w:fill="auto"/>
                <w:lang w:val="en-US"/>
              </w:rPr>
              <w:t xml:space="preserve">,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19"/>
                <w:szCs w:val="19"/>
                <w:shd w:val="clear" w:fill="auto"/>
                <w:lang w:val="en-US"/>
              </w:rPr>
              <w:t xml:space="preserve">matcheswon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19"/>
                <w:szCs w:val="19"/>
                <w:shd w:val="clear" w:fill="auto"/>
                <w:lang w:val="en-US"/>
              </w:rPr>
              <w:t xml:space="preserve">,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19"/>
                <w:szCs w:val="19"/>
                <w:shd w:val="clear" w:fill="auto"/>
                <w:lang w:val="en-US"/>
              </w:rPr>
              <w:t xml:space="preserve">matcheslost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19"/>
                <w:szCs w:val="19"/>
                <w:shd w:val="clear" w:fill="auto"/>
                <w:lang w:val="en-US"/>
              </w:rPr>
              <w:t xml:space="preserve">, season</w:t>
            </w:r>
          </w:p>
        </w:tc>
      </w:tr>
      <w:tr xmlns:wp14="http://schemas.microsoft.com/office/word/2010/wordml" w:rsidTr="255D945D" w14:paraId="4048F697" wp14:textId="77777777">
        <w:trPr>
          <w:trHeight w:val="1" w:hRule="atLeast"/>
          <w:jc w:val="left"/>
        </w:trPr>
        <w:tc>
          <w:tcPr>
            <w:tcW w:w="22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7052DD7D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9"/>
                <w:shd w:val="clear" w:fill="auto"/>
              </w:rPr>
              <w:t xml:space="preserve">Parameter / Over / Season</w:t>
            </w:r>
          </w:p>
        </w:tc>
        <w:tc>
          <w:tcPr>
            <w:tcW w:w="30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4EB7D0F3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19"/>
                <w:shd w:val="clear" w:fill="auto"/>
              </w:rPr>
              <w:t xml:space="preserve">DAX parameter tables</w:t>
            </w:r>
          </w:p>
        </w:tc>
        <w:tc>
          <w:tcPr>
            <w:tcW w:w="4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auto" w:fill="FFFFFF"/>
            <w:tcMar>
              <w:left w:w="120" w:type="dxa"/>
              <w:right w:w="120" w:type="dxa"/>
            </w:tcMar>
            <w:vAlign w:val="center"/>
          </w:tcPr>
          <w:p w14:paraId="4FCB75A2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6B7280"/>
                <w:spacing w:val="0"/>
                <w:position w:val="0"/>
                <w:sz w:val="19"/>
                <w:shd w:val="clear" w:fill="auto"/>
              </w:rPr>
              <w:t xml:space="preserve">Dynamic measure selection for over-wise analysis</w:t>
            </w:r>
          </w:p>
        </w:tc>
      </w:tr>
    </w:tbl>
    <w:p xmlns:wp14="http://schemas.microsoft.com/office/word/2010/wordml" w14:paraId="60061E4C" wp14:textId="77777777">
      <w:pPr>
        <w:spacing w:before="0" w:after="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44EAFD9C" wp14:textId="77777777">
      <w:pPr>
        <w:spacing w:before="0" w:after="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0A6959E7" wp14:textId="77777777">
      <w:pPr>
        <w:spacing w:before="0" w:after="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</w:t>
      </w:r>
    </w:p>
    <w:p xmlns:wp14="http://schemas.microsoft.com/office/word/2010/wordml" w14:paraId="4B94D5A5" wp14:textId="77777777">
      <w:pPr>
        <w:spacing w:before="0" w:after="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tbl>
      <w:tblPr/>
      <w:tblGrid>
        <w:gridCol w:w="500"/>
        <w:gridCol w:w="8860"/>
      </w:tblGrid>
      <w:tr xmlns:wp14="http://schemas.microsoft.com/office/word/2010/wordml" w14:paraId="17C7C305" wp14:textId="77777777">
        <w:trPr>
          <w:trHeight w:val="1" w:hRule="atLeast"/>
          <w:jc w:val="left"/>
        </w:trPr>
        <w:tc>
          <w:tcPr>
            <w:tcW w:w="5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000000" w:fill="1b3a6b"/>
            <w:tcMar>
              <w:left w:w="120" w:type="dxa"/>
              <w:right w:w="120" w:type="dxa"/>
            </w:tcMar>
            <w:vAlign w:val="center"/>
          </w:tcPr>
          <w:p w14:paraId="5FCD5EC4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32"/>
                <w:shd w:val="clear" w:fill="auto"/>
              </w:rPr>
              <w:t xml:space="preserve">3</w:t>
            </w:r>
          </w:p>
        </w:tc>
        <w:tc>
          <w:tcPr>
            <w:tcW w:w="88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000000" w:fill="dbeafe"/>
            <w:tcMar>
              <w:left w:w="120" w:type="dxa"/>
              <w:right w:w="120" w:type="dxa"/>
            </w:tcMar>
            <w:vAlign w:val="top"/>
          </w:tcPr>
          <w:p w14:paraId="38BD6CB8" wp14:textId="77777777">
            <w:pPr>
              <w:spacing w:before="0" w:after="0" w:line="240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28"/>
                <w:shd w:val="clear" w:fill="auto"/>
              </w:rPr>
              <w:t xml:space="preserve">Dashboard Architecture</w:t>
            </w:r>
          </w:p>
          <w:p w14:paraId="0440A5FA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2563EB"/>
                <w:spacing w:val="0"/>
                <w:position w:val="0"/>
                <w:sz w:val="20"/>
                <w:shd w:val="clear" w:fill="auto"/>
              </w:rPr>
              <w:t xml:space="preserve">Pages, navigation, and interaction design</w:t>
            </w:r>
          </w:p>
        </w:tc>
      </w:tr>
    </w:tbl>
    <w:p xmlns:wp14="http://schemas.microsoft.com/office/word/2010/wordml" w14:paraId="3DEEC669" wp14:textId="77777777">
      <w:pPr>
        <w:spacing w:before="60" w:after="4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36B9D8A7" wp14:textId="77777777">
      <w:pPr>
        <w:spacing w:before="60" w:after="8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374151"/>
          <w:spacing w:val="0"/>
          <w:position w:val="0"/>
          <w:sz w:val="22"/>
          <w:shd w:val="clear" w:fill="auto"/>
        </w:rPr>
        <w:t xml:space="preserve">The dashboard uses a custom page navigator built with Action Buttons, allowing users to move fluidly between analytical sections without using the standard Power BI tab bar. A consistent left-panel layout with textbox labels and the IPL logo anchors every page to a common visual identity.</w:t>
      </w:r>
    </w:p>
    <w:p xmlns:wp14="http://schemas.microsoft.com/office/word/2010/wordml" w14:paraId="3656B9AB" wp14:textId="77777777">
      <w:pPr>
        <w:spacing w:before="2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tbl>
      <w:tblPr/>
      <w:tblGrid>
        <w:gridCol w:w="1800"/>
        <w:gridCol w:w="2400"/>
        <w:gridCol w:w="5160"/>
      </w:tblGrid>
      <w:tr xmlns:wp14="http://schemas.microsoft.com/office/word/2010/wordml" w14:paraId="7745E3E0" wp14:textId="77777777">
        <w:trPr>
          <w:trHeight w:val="1" w:hRule="atLeast"/>
          <w:jc w:val="left"/>
        </w:trPr>
        <w:tc>
          <w:tcPr>
            <w:tcW w:w="1800" w:type="dxa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val="clear" w:color="000000" w:fill="1b3a6b"/>
            <w:tcMar>
              <w:left w:w="120" w:type="dxa"/>
              <w:right w:w="120" w:type="dxa"/>
            </w:tcMar>
            <w:vAlign w:val="center"/>
          </w:tcPr>
          <w:p w14:paraId="6D74EAC0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0"/>
                <w:shd w:val="clear" w:fill="auto"/>
              </w:rPr>
              <w:t xml:space="preserve">Page</w:t>
            </w:r>
          </w:p>
        </w:tc>
        <w:tc>
          <w:tcPr>
            <w:tcW w:w="2400" w:type="dxa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val="clear" w:color="000000" w:fill="1b3a6b"/>
            <w:tcMar>
              <w:left w:w="120" w:type="dxa"/>
              <w:right w:w="120" w:type="dxa"/>
            </w:tcMar>
            <w:vAlign w:val="center"/>
          </w:tcPr>
          <w:p w14:paraId="0D909AED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0"/>
                <w:shd w:val="clear" w:fill="auto"/>
              </w:rPr>
              <w:t xml:space="preserve">Name</w:t>
            </w:r>
          </w:p>
        </w:tc>
        <w:tc>
          <w:tcPr>
            <w:tcW w:w="5160" w:type="dxa"/>
            <w:tcBorders>
              <w:top w:val="single" w:color="9ca3af" w:sz="1"/>
              <w:left w:val="single" w:color="9ca3af" w:sz="1"/>
              <w:bottom w:val="single" w:color="9ca3af" w:sz="1"/>
              <w:right w:val="single" w:color="9ca3af" w:sz="1"/>
            </w:tcBorders>
            <w:shd w:val="clear" w:color="000000" w:fill="1b3a6b"/>
            <w:tcMar>
              <w:left w:w="120" w:type="dxa"/>
              <w:right w:w="120" w:type="dxa"/>
            </w:tcMar>
            <w:vAlign w:val="center"/>
          </w:tcPr>
          <w:p w14:paraId="39EC13BE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0"/>
                <w:shd w:val="clear" w:fill="auto"/>
              </w:rPr>
              <w:t xml:space="preserve">Purpose</w:t>
            </w:r>
          </w:p>
        </w:tc>
      </w:tr>
      <w:tr xmlns:wp14="http://schemas.microsoft.com/office/word/2010/wordml" w14:paraId="58631FBC" wp14:textId="77777777">
        <w:trPr>
          <w:trHeight w:val="1" w:hRule="atLeast"/>
          <w:jc w:val="left"/>
        </w:trPr>
        <w:tc>
          <w:tcPr>
            <w:tcW w:w="1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000000" w:fill="dbeafe"/>
            <w:tcMar>
              <w:left w:w="120" w:type="dxa"/>
              <w:right w:w="120" w:type="dxa"/>
            </w:tcMar>
            <w:vAlign w:val="center"/>
          </w:tcPr>
          <w:p w14:paraId="1C466EF4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9"/>
                <w:shd w:val="clear" w:fill="auto"/>
              </w:rPr>
              <w:t xml:space="preserve">Page 1</w:t>
            </w:r>
          </w:p>
        </w:tc>
        <w:tc>
          <w:tcPr>
            <w:tcW w:w="2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000000" w:fill="dbeafe"/>
            <w:tcMar>
              <w:left w:w="120" w:type="dxa"/>
              <w:right w:w="120" w:type="dxa"/>
            </w:tcMar>
            <w:vAlign w:val="center"/>
          </w:tcPr>
          <w:p w14:paraId="3CFA9506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374151"/>
                <w:spacing w:val="0"/>
                <w:position w:val="0"/>
                <w:sz w:val="19"/>
                <w:shd w:val="clear" w:fill="auto"/>
              </w:rPr>
              <w:t xml:space="preserve">Landing / Home</w:t>
            </w:r>
          </w:p>
        </w:tc>
        <w:tc>
          <w:tcPr>
            <w:tcW w:w="5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000000" w:fill="dbeafe"/>
            <w:tcMar>
              <w:left w:w="120" w:type="dxa"/>
              <w:right w:w="120" w:type="dxa"/>
            </w:tcMar>
            <w:vAlign w:val="center"/>
          </w:tcPr>
          <w:p w14:paraId="4CC09876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19"/>
                <w:shd w:val="clear" w:fill="auto"/>
              </w:rPr>
              <w:t xml:space="preserve">Entry point with navigation buttons to all analytical sections</w:t>
            </w:r>
          </w:p>
        </w:tc>
      </w:tr>
      <w:tr xmlns:wp14="http://schemas.microsoft.com/office/word/2010/wordml" w14:paraId="7FC3C9D0" wp14:textId="77777777">
        <w:trPr>
          <w:trHeight w:val="1" w:hRule="atLeast"/>
          <w:jc w:val="left"/>
        </w:trPr>
        <w:tc>
          <w:tcPr>
            <w:tcW w:w="1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FC6950C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9"/>
                <w:shd w:val="clear" w:fill="auto"/>
              </w:rPr>
              <w:t xml:space="preserve">Page 2</w:t>
            </w:r>
          </w:p>
        </w:tc>
        <w:tc>
          <w:tcPr>
            <w:tcW w:w="2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56C6A8AD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374151"/>
                <w:spacing w:val="0"/>
                <w:position w:val="0"/>
                <w:sz w:val="19"/>
                <w:shd w:val="clear" w:fill="auto"/>
              </w:rPr>
              <w:t xml:space="preserve">IPL Overview</w:t>
            </w:r>
          </w:p>
        </w:tc>
        <w:tc>
          <w:tcPr>
            <w:tcW w:w="5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712C4E7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19"/>
                <w:shd w:val="clear" w:fill="auto"/>
              </w:rPr>
              <w:t xml:space="preserve">Season-level KPIs, stadium analysis, bowling discipline trends, qualifying teams</w:t>
            </w:r>
          </w:p>
        </w:tc>
      </w:tr>
      <w:tr xmlns:wp14="http://schemas.microsoft.com/office/word/2010/wordml" w14:paraId="10BA5539" wp14:textId="77777777">
        <w:trPr>
          <w:trHeight w:val="1" w:hRule="atLeast"/>
          <w:jc w:val="left"/>
        </w:trPr>
        <w:tc>
          <w:tcPr>
            <w:tcW w:w="1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000000" w:fill="dbeafe"/>
            <w:tcMar>
              <w:left w:w="120" w:type="dxa"/>
              <w:right w:w="120" w:type="dxa"/>
            </w:tcMar>
            <w:vAlign w:val="center"/>
          </w:tcPr>
          <w:p w14:paraId="0AECC4FE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9"/>
                <w:shd w:val="clear" w:fill="auto"/>
              </w:rPr>
              <w:t xml:space="preserve">Page 3</w:t>
            </w:r>
          </w:p>
        </w:tc>
        <w:tc>
          <w:tcPr>
            <w:tcW w:w="2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000000" w:fill="dbeafe"/>
            <w:tcMar>
              <w:left w:w="120" w:type="dxa"/>
              <w:right w:w="120" w:type="dxa"/>
            </w:tcMar>
            <w:vAlign w:val="center"/>
          </w:tcPr>
          <w:p w14:paraId="1A71D638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374151"/>
                <w:spacing w:val="0"/>
                <w:position w:val="0"/>
                <w:sz w:val="19"/>
                <w:shd w:val="clear" w:fill="auto"/>
              </w:rPr>
              <w:t xml:space="preserve">Team Profile</w:t>
            </w:r>
          </w:p>
        </w:tc>
        <w:tc>
          <w:tcPr>
            <w:tcW w:w="5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000000" w:fill="dbeafe"/>
            <w:tcMar>
              <w:left w:w="120" w:type="dxa"/>
              <w:right w:w="120" w:type="dxa"/>
            </w:tcMar>
            <w:vAlign w:val="center"/>
          </w:tcPr>
          <w:p w14:paraId="70ABF395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19"/>
                <w:shd w:val="clear" w:fill="auto"/>
              </w:rPr>
              <w:t xml:space="preserve">Per-team season history, venue win rates, over-wise performance, top contributors</w:t>
            </w:r>
          </w:p>
        </w:tc>
      </w:tr>
      <w:tr xmlns:wp14="http://schemas.microsoft.com/office/word/2010/wordml" w14:paraId="7AE288D0" wp14:textId="77777777">
        <w:trPr>
          <w:trHeight w:val="1" w:hRule="atLeast"/>
          <w:jc w:val="left"/>
        </w:trPr>
        <w:tc>
          <w:tcPr>
            <w:tcW w:w="1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C31650F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9"/>
                <w:shd w:val="clear" w:fill="auto"/>
              </w:rPr>
              <w:t xml:space="preserve">Page 4</w:t>
            </w:r>
          </w:p>
        </w:tc>
        <w:tc>
          <w:tcPr>
            <w:tcW w:w="2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3863A12E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374151"/>
                <w:spacing w:val="0"/>
                <w:position w:val="0"/>
                <w:sz w:val="19"/>
                <w:shd w:val="clear" w:fill="auto"/>
              </w:rPr>
              <w:t xml:space="preserve">Player Profile</w:t>
            </w:r>
          </w:p>
        </w:tc>
        <w:tc>
          <w:tcPr>
            <w:tcW w:w="5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000000" w:fill="ffffff"/>
            <w:tcMar>
              <w:left w:w="120" w:type="dxa"/>
              <w:right w:w="120" w:type="dxa"/>
            </w:tcMar>
            <w:vAlign w:val="center"/>
          </w:tcPr>
          <w:p w14:paraId="06F0DFE9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19"/>
                <w:shd w:val="clear" w:fill="auto"/>
              </w:rPr>
              <w:t xml:space="preserve">Individual batter/bowler comparison with cross-season filtering</w:t>
            </w:r>
          </w:p>
        </w:tc>
      </w:tr>
      <w:tr xmlns:wp14="http://schemas.microsoft.com/office/word/2010/wordml" w14:paraId="13706549" wp14:textId="77777777">
        <w:trPr>
          <w:trHeight w:val="1" w:hRule="atLeast"/>
          <w:jc w:val="left"/>
        </w:trPr>
        <w:tc>
          <w:tcPr>
            <w:tcW w:w="18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000000" w:fill="dbeafe"/>
            <w:tcMar>
              <w:left w:w="120" w:type="dxa"/>
              <w:right w:w="120" w:type="dxa"/>
            </w:tcMar>
            <w:vAlign w:val="center"/>
          </w:tcPr>
          <w:p w14:paraId="736B7CA0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9"/>
                <w:shd w:val="clear" w:fill="auto"/>
              </w:rPr>
              <w:t xml:space="preserve">Page 5</w:t>
            </w:r>
          </w:p>
        </w:tc>
        <w:tc>
          <w:tcPr>
            <w:tcW w:w="240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000000" w:fill="dbeafe"/>
            <w:tcMar>
              <w:left w:w="120" w:type="dxa"/>
              <w:right w:w="120" w:type="dxa"/>
            </w:tcMar>
            <w:vAlign w:val="center"/>
          </w:tcPr>
          <w:p w14:paraId="5378F7AD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374151"/>
                <w:spacing w:val="0"/>
                <w:position w:val="0"/>
                <w:sz w:val="19"/>
                <w:shd w:val="clear" w:fill="auto"/>
              </w:rPr>
              <w:t xml:space="preserve">Tooltip</w:t>
            </w:r>
          </w:p>
        </w:tc>
        <w:tc>
          <w:tcPr>
            <w:tcW w:w="5160" w:type="dxa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val="clear" w:color="000000" w:fill="dbeafe"/>
            <w:tcMar>
              <w:left w:w="120" w:type="dxa"/>
              <w:right w:w="120" w:type="dxa"/>
            </w:tcMar>
            <w:vAlign w:val="center"/>
          </w:tcPr>
          <w:p w14:paraId="64D751E5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19"/>
                <w:shd w:val="clear" w:fill="auto"/>
              </w:rPr>
              <w:t xml:space="preserve">Hidden page serving scatterplot + pie chart as drill-through tooltips</w:t>
            </w:r>
          </w:p>
        </w:tc>
      </w:tr>
    </w:tbl>
    <w:p xmlns:wp14="http://schemas.microsoft.com/office/word/2010/wordml" w14:paraId="45FB0818" wp14:textId="77777777">
      <w:pPr>
        <w:spacing w:before="4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049F31CB" wp14:textId="77777777">
      <w:pPr>
        <w:spacing w:before="4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53128261" wp14:textId="77777777">
      <w:pPr>
        <w:spacing w:before="4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tbl>
      <w:tblPr/>
      <w:tblGrid>
        <w:gridCol w:w="500"/>
        <w:gridCol w:w="8860"/>
      </w:tblGrid>
      <w:tr xmlns:wp14="http://schemas.microsoft.com/office/word/2010/wordml" w14:paraId="281A3963" wp14:textId="77777777">
        <w:trPr>
          <w:trHeight w:val="1" w:hRule="atLeast"/>
          <w:jc w:val="left"/>
        </w:trPr>
        <w:tc>
          <w:tcPr>
            <w:tcW w:w="5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000000" w:fill="1b3a6b"/>
            <w:tcMar>
              <w:left w:w="120" w:type="dxa"/>
              <w:right w:w="120" w:type="dxa"/>
            </w:tcMar>
            <w:vAlign w:val="center"/>
          </w:tcPr>
          <w:p w14:paraId="2598DEE6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32"/>
                <w:shd w:val="clear" w:fill="auto"/>
              </w:rPr>
              <w:t xml:space="preserve">4</w:t>
            </w:r>
          </w:p>
        </w:tc>
        <w:tc>
          <w:tcPr>
            <w:tcW w:w="88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000000" w:fill="dbeafe"/>
            <w:tcMar>
              <w:left w:w="120" w:type="dxa"/>
              <w:right w:w="120" w:type="dxa"/>
            </w:tcMar>
            <w:vAlign w:val="top"/>
          </w:tcPr>
          <w:p w14:paraId="6A39FF6C" wp14:textId="77777777">
            <w:pPr>
              <w:spacing w:before="0" w:after="0" w:line="240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28"/>
                <w:shd w:val="clear" w:fill="auto"/>
              </w:rPr>
              <w:t xml:space="preserve">Page: IPL Overview</w:t>
            </w:r>
          </w:p>
          <w:p w14:paraId="2D0711EE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2563EB"/>
                <w:spacing w:val="0"/>
                <w:position w:val="0"/>
                <w:sz w:val="20"/>
                <w:shd w:val="clear" w:fill="auto"/>
              </w:rPr>
              <w:t xml:space="preserve">Season-level aggregate analysis</w:t>
            </w:r>
          </w:p>
        </w:tc>
      </w:tr>
    </w:tbl>
    <w:p xmlns:wp14="http://schemas.microsoft.com/office/word/2010/wordml" w14:paraId="62486C05" wp14:textId="77777777">
      <w:pPr>
        <w:spacing w:before="60" w:after="4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:rsidP="255D945D" w14:paraId="1C5B2216" wp14:textId="77777777">
      <w:pPr>
        <w:spacing w:before="60" w:after="8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255D945D" w:rsidR="255D945D">
        <w:rPr>
          <w:rFonts w:ascii="Arial" w:hAnsi="Arial" w:eastAsia="Arial" w:cs="Arial"/>
          <w:color w:val="374151"/>
          <w:spacing w:val="0"/>
          <w:position w:val="0"/>
          <w:sz w:val="22"/>
          <w:szCs w:val="22"/>
          <w:shd w:val="clear" w:fill="auto"/>
          <w:lang w:val="en-US"/>
        </w:rPr>
        <w:t xml:space="preserve">The IPL Overview page answers the highest-level questions about the league: How has the game evolved season by season? Which stadiums and officials have been central to the tournament? How </w:t>
      </w:r>
      <w:r w:rsidRPr="255D945D" w:rsidR="255D945D">
        <w:rPr>
          <w:rFonts w:ascii="Arial" w:hAnsi="Arial" w:eastAsia="Arial" w:cs="Arial"/>
          <w:color w:val="374151"/>
          <w:spacing w:val="0"/>
          <w:position w:val="0"/>
          <w:sz w:val="22"/>
          <w:szCs w:val="22"/>
          <w:shd w:val="clear" w:fill="auto"/>
          <w:lang w:val="en-US"/>
        </w:rPr>
        <w:t xml:space="preserve">do</w:t>
      </w:r>
      <w:r w:rsidRPr="255D945D" w:rsidR="255D945D">
        <w:rPr>
          <w:rFonts w:ascii="Arial" w:hAnsi="Arial" w:eastAsia="Arial" w:cs="Arial"/>
          <w:color w:val="374151"/>
          <w:spacing w:val="0"/>
          <w:position w:val="0"/>
          <w:sz w:val="22"/>
          <w:szCs w:val="22"/>
          <w:shd w:val="clear" w:fill="auto"/>
          <w:lang w:val="en-US"/>
        </w:rPr>
        <w:t xml:space="preserve"> bowling discipline metrics trend across eras?</w:t>
      </w:r>
    </w:p>
    <w:p xmlns:wp14="http://schemas.microsoft.com/office/word/2010/wordml" w:rsidP="255D945D" w14:paraId="52D8A9DD" wp14:textId="77777777">
      <w:pPr>
        <w:spacing w:before="260" w:after="12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</w:pP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4.1  KPI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 Cards 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—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 Total Seasons / Teams / Matches</w:t>
      </w:r>
    </w:p>
    <w:p xmlns:wp14="http://schemas.microsoft.com/office/word/2010/wordml" w14:paraId="4101652C" wp14:textId="77777777">
      <w:pPr>
        <w:spacing w:before="2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tbl>
      <w:tblPr>
        <w:tblW w:w="0" w:type="dxa"/>
      </w:tblPr>
      <w:tblGrid>
        <w:gridCol w:w="2400"/>
        <w:gridCol w:w="6960"/>
      </w:tblGrid>
      <w:tr xmlns:wp14="http://schemas.microsoft.com/office/word/2010/wordml" w:rsidTr="255D945D" w14:paraId="0A587A0E" wp14:textId="77777777">
        <w:trPr>
          <w:trHeight w:val="1" w:hRule="atLeast"/>
          <w:jc w:val="left"/>
        </w:trPr>
        <w:tc>
          <w:tcPr>
            <w:tcW w:w="24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auto" w:fill="1B3A6B"/>
            <w:tcMar>
              <w:left w:w="140" w:type="dxa"/>
              <w:right w:w="140" w:type="dxa"/>
            </w:tcMar>
            <w:vAlign w:val="center"/>
          </w:tcPr>
          <w:p w14:paraId="130840A8" wp14:textId="77777777"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16"/>
                <w:shd w:val="clear" w:fill="auto"/>
              </w:rPr>
              <w:t xml:space="preserve">CHART TYPE</w:t>
            </w:r>
          </w:p>
          <w:p w14:paraId="7814B69F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2"/>
                <w:shd w:val="clear" w:fill="auto"/>
              </w:rPr>
              <w:t xml:space="preserve">Card Visual</w:t>
            </w:r>
          </w:p>
        </w:tc>
        <w:tc>
          <w:tcPr>
            <w:tcW w:w="69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auto" w:fill="FFFFFF"/>
            <w:tcMar>
              <w:left w:w="140" w:type="dxa"/>
              <w:right w:w="140" w:type="dxa"/>
            </w:tcMar>
            <w:vAlign w:val="top"/>
          </w:tcPr>
          <w:p w14:paraId="040F8AD6" wp14:textId="77777777">
            <w:pPr>
              <w:spacing w:before="0" w:after="0" w:line="240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374151"/>
                <w:spacing w:val="0"/>
                <w:position w:val="0"/>
                <w:sz w:val="21"/>
                <w:shd w:val="clear" w:fill="auto"/>
              </w:rPr>
              <w:t xml:space="preserve">Why This Chart?</w:t>
            </w:r>
          </w:p>
          <w:p w:rsidP="255D945D" w14:paraId="172F15D7" wp14:textId="77777777">
            <w:pPr>
              <w:spacing w:before="4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KPI Cards are the fastest way to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communicate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a single, high-confidence headline number. When stakeholders open a report, they scan for scale first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—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'17 seasons', '10+ teams', '900+ matches' orient the audience instantly before they engage with any chart. Cards have no distracting axes or legends; the number is the message.</w:t>
            </w:r>
          </w:p>
        </w:tc>
      </w:tr>
    </w:tbl>
    <w:p xmlns:wp14="http://schemas.microsoft.com/office/word/2010/wordml" w14:paraId="4B99056E" wp14:textId="77777777">
      <w:pPr>
        <w:spacing w:before="2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123C3C87" wp14:textId="77777777">
      <w:pPr>
        <w:spacing w:before="200" w:after="80" w:line="240"/>
        <w:ind w:left="0" w:right="0" w:firstLine="0"/>
        <w:jc w:val="left"/>
        <w:rPr>
          <w:rFonts w:ascii="Arial" w:hAnsi="Arial" w:eastAsia="Arial" w:cs="Arial"/>
          <w:b/>
          <w:color w:val="374151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374151"/>
          <w:spacing w:val="0"/>
          <w:position w:val="0"/>
          <w:sz w:val="24"/>
          <w:shd w:val="clear" w:fill="auto"/>
        </w:rPr>
        <w:t xml:space="preserve">Insights</w:t>
      </w:r>
    </w:p>
    <w:tbl>
      <w:tblPr>
        <w:tblW w:w="0" w:type="dxa"/>
      </w:tblPr>
      <w:tblGrid>
        <w:gridCol w:w="1200"/>
        <w:gridCol w:w="8160"/>
      </w:tblGrid>
      <w:tr xmlns:wp14="http://schemas.microsoft.com/office/word/2010/wordml" w:rsidTr="255D945D" w14:paraId="70F55E62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DBEAFE"/>
            <w:tcMar>
              <w:left w:w="130" w:type="dxa"/>
              <w:right w:w="130" w:type="dxa"/>
            </w:tcMar>
            <w:vAlign w:val="center"/>
          </w:tcPr>
          <w:p w14:paraId="1001D074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Scale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:rsidP="255D945D" w14:paraId="6B16635E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The dashboard spans 17 complete IPL seasons, giving enough historical depth to 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identify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genuine trends vs. one-off anomalies.</w:t>
            </w:r>
          </w:p>
        </w:tc>
      </w:tr>
      <w:tr xmlns:wp14="http://schemas.microsoft.com/office/word/2010/wordml" w:rsidTr="255D945D" w14:paraId="1B7CC41E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EFF6FF"/>
            <w:tcMar>
              <w:left w:w="130" w:type="dxa"/>
              <w:right w:w="130" w:type="dxa"/>
            </w:tcMar>
            <w:vAlign w:val="center"/>
          </w:tcPr>
          <w:p w14:paraId="7D651116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Teams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:rsidP="255D945D" w14:paraId="3B38FD61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With 10+ franchises tracked, the 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points_table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reveals that squad churn (dissolved teams like Kochi, Pune) affects multi-season trend continuity.</w:t>
            </w:r>
          </w:p>
        </w:tc>
      </w:tr>
      <w:tr xmlns:wp14="http://schemas.microsoft.com/office/word/2010/wordml" w:rsidTr="255D945D" w14:paraId="50EAC765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DBEAFE"/>
            <w:tcMar>
              <w:left w:w="130" w:type="dxa"/>
              <w:right w:w="130" w:type="dxa"/>
            </w:tcMar>
            <w:vAlign w:val="center"/>
          </w:tcPr>
          <w:p w14:paraId="4C4F5D20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Matches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:rsidP="255D945D" w14:paraId="54A0E48F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Match count growth over seasons reflects format expansions (league stage + playoffs), allowing per-season match-count 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normalisation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.</w:t>
            </w:r>
          </w:p>
        </w:tc>
      </w:tr>
    </w:tbl>
    <w:p xmlns:wp14="http://schemas.microsoft.com/office/word/2010/wordml" w14:paraId="1299C43A" wp14:textId="77777777">
      <w:pPr>
        <w:spacing w:before="4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:rsidP="255D945D" w14:paraId="4EFC83AD" wp14:textId="77777777">
      <w:pPr>
        <w:spacing w:before="260" w:after="12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</w:pP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4.2  Line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 Chart 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—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 Average Runs per Inning by Season</w:t>
      </w:r>
    </w:p>
    <w:p xmlns:wp14="http://schemas.microsoft.com/office/word/2010/wordml" w14:paraId="4DDBEF00" wp14:textId="77777777">
      <w:pPr>
        <w:spacing w:before="2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tbl>
      <w:tblPr>
        <w:tblW w:w="0" w:type="dxa"/>
      </w:tblPr>
      <w:tblGrid>
        <w:gridCol w:w="2400"/>
        <w:gridCol w:w="6960"/>
      </w:tblGrid>
      <w:tr xmlns:wp14="http://schemas.microsoft.com/office/word/2010/wordml" w:rsidTr="255D945D" w14:paraId="27CC35AD" wp14:textId="77777777">
        <w:trPr>
          <w:trHeight w:val="1" w:hRule="atLeast"/>
          <w:jc w:val="left"/>
        </w:trPr>
        <w:tc>
          <w:tcPr>
            <w:tcW w:w="24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auto" w:fill="0D9488"/>
            <w:tcMar>
              <w:left w:w="140" w:type="dxa"/>
              <w:right w:w="140" w:type="dxa"/>
            </w:tcMar>
            <w:vAlign w:val="center"/>
          </w:tcPr>
          <w:p w14:paraId="49B1FE1A" wp14:textId="77777777"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16"/>
                <w:shd w:val="clear" w:fill="auto"/>
              </w:rPr>
              <w:t xml:space="preserve">CHART TYPE</w:t>
            </w:r>
          </w:p>
          <w:p w14:paraId="674C7D98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2"/>
                <w:shd w:val="clear" w:fill="auto"/>
              </w:rPr>
              <w:t xml:space="preserve">Line Chart</w:t>
            </w:r>
          </w:p>
        </w:tc>
        <w:tc>
          <w:tcPr>
            <w:tcW w:w="69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auto" w:fill="FFFFFF"/>
            <w:tcMar>
              <w:left w:w="140" w:type="dxa"/>
              <w:right w:w="140" w:type="dxa"/>
            </w:tcMar>
            <w:vAlign w:val="top"/>
          </w:tcPr>
          <w:p w14:paraId="61BB7AB0" wp14:textId="77777777">
            <w:pPr>
              <w:spacing w:before="0" w:after="0" w:line="240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374151"/>
                <w:spacing w:val="0"/>
                <w:position w:val="0"/>
                <w:sz w:val="21"/>
                <w:shd w:val="clear" w:fill="auto"/>
              </w:rPr>
              <w:t xml:space="preserve">Why This Chart?</w:t>
            </w:r>
          </w:p>
          <w:p w:rsidP="255D945D" w14:paraId="4EAD3C74" wp14:textId="77777777">
            <w:pPr>
              <w:spacing w:before="4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A Line Chart is ideal for continuous time-series data where the direction of change matters as much as individual values. Season is an ordinal temporal axis; runs-per-inning is a continuous metric. The line's slope makes acceleration or deceleration in scoring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immediately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visible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—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something a bar chart would obscure by drawing the eye to bar height rather than rate of change.</w:t>
            </w:r>
          </w:p>
        </w:tc>
      </w:tr>
    </w:tbl>
    <w:p xmlns:wp14="http://schemas.microsoft.com/office/word/2010/wordml" w14:paraId="3461D779" wp14:textId="77777777">
      <w:pPr>
        <w:spacing w:before="2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73C73356" wp14:textId="77777777">
      <w:pPr>
        <w:spacing w:before="200" w:after="80" w:line="240"/>
        <w:ind w:left="0" w:right="0" w:firstLine="0"/>
        <w:jc w:val="left"/>
        <w:rPr>
          <w:rFonts w:ascii="Arial" w:hAnsi="Arial" w:eastAsia="Arial" w:cs="Arial"/>
          <w:b/>
          <w:color w:val="374151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374151"/>
          <w:spacing w:val="0"/>
          <w:position w:val="0"/>
          <w:sz w:val="24"/>
          <w:shd w:val="clear" w:fill="auto"/>
        </w:rPr>
        <w:t xml:space="preserve">Insights</w:t>
      </w:r>
    </w:p>
    <w:tbl>
      <w:tblPr>
        <w:tblW w:w="0" w:type="dxa"/>
      </w:tblPr>
      <w:tblGrid>
        <w:gridCol w:w="1200"/>
        <w:gridCol w:w="8160"/>
      </w:tblGrid>
      <w:tr xmlns:wp14="http://schemas.microsoft.com/office/word/2010/wordml" w:rsidTr="255D945D" w14:paraId="025D4F45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DBEAFE"/>
            <w:tcMar>
              <w:left w:w="130" w:type="dxa"/>
              <w:right w:w="130" w:type="dxa"/>
            </w:tcMar>
            <w:vAlign w:val="center"/>
          </w:tcPr>
          <w:p w14:paraId="6DA3BF5A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Trend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14:paraId="08574AEA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Average runs per inning show a gradual upward trajectory post-2015, reflecting improvements in batting depth, shorter boundaries at some venues, and aggressive batting strategies.</w:t>
            </w:r>
          </w:p>
        </w:tc>
      </w:tr>
      <w:tr xmlns:wp14="http://schemas.microsoft.com/office/word/2010/wordml" w:rsidTr="255D945D" w14:paraId="3C845B0B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EFF6FF"/>
            <w:tcMar>
              <w:left w:w="130" w:type="dxa"/>
              <w:right w:w="130" w:type="dxa"/>
            </w:tcMar>
            <w:vAlign w:val="center"/>
          </w:tcPr>
          <w:p w14:paraId="6686C560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Dips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:rsidP="255D945D" w14:paraId="62EDCFDD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Seasons with below-average runs correlate with editions held in a single venue bubble (bio-secure 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bubbles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slow pitches), or editions with compressed schedules and tired pitches.</w:t>
            </w:r>
          </w:p>
        </w:tc>
      </w:tr>
      <w:tr xmlns:wp14="http://schemas.microsoft.com/office/word/2010/wordml" w:rsidTr="255D945D" w14:paraId="7A217559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DBEAFE"/>
            <w:tcMar>
              <w:left w:w="130" w:type="dxa"/>
              <w:right w:w="130" w:type="dxa"/>
            </w:tcMar>
            <w:vAlign w:val="center"/>
          </w:tcPr>
          <w:p w14:paraId="4C405390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Pitch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:rsidP="255D945D" w14:paraId="215A2EF7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The metric provides an indirect proxy for pitch quality and dew factor 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—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higher averages in second-inning chases suggest dew consistently 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favours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batting second in evening games.</w:t>
            </w:r>
          </w:p>
        </w:tc>
      </w:tr>
    </w:tbl>
    <w:p xmlns:wp14="http://schemas.microsoft.com/office/word/2010/wordml" w14:paraId="3CF2D8B6" wp14:textId="77777777">
      <w:pPr>
        <w:spacing w:before="4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:rsidP="255D945D" w14:paraId="32E3AE3A" wp14:textId="77777777">
      <w:pPr>
        <w:spacing w:before="260" w:after="12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</w:pP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4.3  Bar Chart 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—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 Top 10 Most Used Stadiums</w:t>
      </w:r>
    </w:p>
    <w:p xmlns:wp14="http://schemas.microsoft.com/office/word/2010/wordml" w14:paraId="0FB78278" wp14:textId="77777777">
      <w:pPr>
        <w:spacing w:before="2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tbl>
      <w:tblPr>
        <w:tblW w:w="0" w:type="dxa"/>
      </w:tblPr>
      <w:tblGrid>
        <w:gridCol w:w="2400"/>
        <w:gridCol w:w="6960"/>
      </w:tblGrid>
      <w:tr xmlns:wp14="http://schemas.microsoft.com/office/word/2010/wordml" w:rsidTr="255D945D" w14:paraId="639760E9" wp14:textId="77777777">
        <w:trPr>
          <w:trHeight w:val="1" w:hRule="atLeast"/>
          <w:jc w:val="left"/>
        </w:trPr>
        <w:tc>
          <w:tcPr>
            <w:tcW w:w="24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auto" w:fill="D97706"/>
            <w:tcMar>
              <w:left w:w="140" w:type="dxa"/>
              <w:right w:w="140" w:type="dxa"/>
            </w:tcMar>
            <w:vAlign w:val="center"/>
          </w:tcPr>
          <w:p w14:paraId="4F6CB1F0" wp14:textId="77777777"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16"/>
                <w:shd w:val="clear" w:fill="auto"/>
              </w:rPr>
              <w:t xml:space="preserve">CHART TYPE</w:t>
            </w:r>
          </w:p>
          <w:p w14:paraId="5DAE15EB" wp14:textId="77777777"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2"/>
                <w:shd w:val="clear" w:fill="auto"/>
              </w:rPr>
              <w:t xml:space="preserve">Clustered Bar Chart</w:t>
            </w:r>
          </w:p>
          <w:p w14:paraId="1A2F0E7F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2"/>
                <w:shd w:val="clear" w:fill="auto"/>
              </w:rPr>
              <w:t xml:space="preserve">(Horizontal)</w:t>
            </w:r>
          </w:p>
        </w:tc>
        <w:tc>
          <w:tcPr>
            <w:tcW w:w="69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auto" w:fill="FFFFFF"/>
            <w:tcMar>
              <w:left w:w="140" w:type="dxa"/>
              <w:right w:w="140" w:type="dxa"/>
            </w:tcMar>
            <w:vAlign w:val="top"/>
          </w:tcPr>
          <w:p w14:paraId="4BCB75AA" wp14:textId="77777777">
            <w:pPr>
              <w:spacing w:before="0" w:after="0" w:line="240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374151"/>
                <w:spacing w:val="0"/>
                <w:position w:val="0"/>
                <w:sz w:val="21"/>
                <w:shd w:val="clear" w:fill="auto"/>
              </w:rPr>
              <w:t xml:space="preserve">Why This Chart?</w:t>
            </w:r>
          </w:p>
          <w:p w:rsidP="255D945D" w14:paraId="7417C9BF" wp14:textId="77777777">
            <w:pPr>
              <w:spacing w:before="4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Horizontal Bar Charts excel for ranked categorical comparisons with long label names (stadium names would overflow on a vertical column chart). The DAX Rank of Stadium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measure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pre-filters to the top 10, keeping the visual clean. Horizontal orientation also lets the eye travel left-to-right along the value axis, reinforcing a 'most to least' ranking narrative.</w:t>
            </w:r>
          </w:p>
        </w:tc>
      </w:tr>
    </w:tbl>
    <w:p xmlns:wp14="http://schemas.microsoft.com/office/word/2010/wordml" w14:paraId="1FC39945" wp14:textId="77777777">
      <w:pPr>
        <w:spacing w:before="2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1CDC097F" wp14:textId="77777777">
      <w:pPr>
        <w:spacing w:before="200" w:after="80" w:line="240"/>
        <w:ind w:left="0" w:right="0" w:firstLine="0"/>
        <w:jc w:val="left"/>
        <w:rPr>
          <w:rFonts w:ascii="Arial" w:hAnsi="Arial" w:eastAsia="Arial" w:cs="Arial"/>
          <w:b/>
          <w:color w:val="374151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374151"/>
          <w:spacing w:val="0"/>
          <w:position w:val="0"/>
          <w:sz w:val="24"/>
          <w:shd w:val="clear" w:fill="auto"/>
        </w:rPr>
        <w:t xml:space="preserve">Insights</w:t>
      </w:r>
    </w:p>
    <w:tbl>
      <w:tblPr>
        <w:tblW w:w="0" w:type="dxa"/>
      </w:tblPr>
      <w:tblGrid>
        <w:gridCol w:w="1200"/>
        <w:gridCol w:w="8160"/>
      </w:tblGrid>
      <w:tr xmlns:wp14="http://schemas.microsoft.com/office/word/2010/wordml" w:rsidTr="255D945D" w14:paraId="73426C4F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DBEAFE"/>
            <w:tcMar>
              <w:left w:w="130" w:type="dxa"/>
              <w:right w:w="130" w:type="dxa"/>
            </w:tcMar>
            <w:vAlign w:val="center"/>
          </w:tcPr>
          <w:p w14:paraId="73C2FB78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Venue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:rsidP="255D945D" w14:paraId="70E66AA5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Wankhede Stadium (Mumbai) and M. 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Chinnaswamy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Stadium (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Bangalore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) consistently rank in the top 3 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—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both home venues of historically strong franchises with high attendance capacity.</w:t>
            </w:r>
          </w:p>
        </w:tc>
      </w:tr>
      <w:tr xmlns:wp14="http://schemas.microsoft.com/office/word/2010/wordml" w:rsidTr="255D945D" w14:paraId="23D70B5E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EFF6FF"/>
            <w:tcMar>
              <w:left w:w="130" w:type="dxa"/>
              <w:right w:w="130" w:type="dxa"/>
            </w:tcMar>
            <w:vAlign w:val="center"/>
          </w:tcPr>
          <w:p w14:paraId="26DD37B0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Bias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14:paraId="4E420CDF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Franchise-owned venues dominate the top 10, confirming that teams prefer to schedule more home games at their own grounds for crowd advantage.</w:t>
            </w:r>
          </w:p>
        </w:tc>
      </w:tr>
      <w:tr xmlns:wp14="http://schemas.microsoft.com/office/word/2010/wordml" w:rsidTr="255D945D" w14:paraId="318F4CAF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DBEAFE"/>
            <w:tcMar>
              <w:left w:w="130" w:type="dxa"/>
              <w:right w:w="130" w:type="dxa"/>
            </w:tcMar>
            <w:vAlign w:val="center"/>
          </w:tcPr>
          <w:p w14:paraId="21E3A77E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Neutral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14:paraId="02716646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Neutral venue appearances (Sharjah, Dubai during COVID editions) appear lower in rank, suggesting their use was exceptional rather than structural.</w:t>
            </w:r>
          </w:p>
        </w:tc>
      </w:tr>
    </w:tbl>
    <w:p xmlns:wp14="http://schemas.microsoft.com/office/word/2010/wordml" w14:paraId="0562CB0E" wp14:textId="77777777">
      <w:pPr>
        <w:spacing w:before="4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:rsidP="255D945D" w14:paraId="7F01A565" wp14:textId="293ED24D">
      <w:pPr>
        <w:spacing w:before="260" w:after="12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</w:pP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4.4  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Bar Chart 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—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 Top 5 TV Umpires</w:t>
      </w:r>
    </w:p>
    <w:p xmlns:wp14="http://schemas.microsoft.com/office/word/2010/wordml" w14:paraId="34CE0A41" wp14:textId="77777777">
      <w:pPr>
        <w:spacing w:before="2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tbl>
      <w:tblPr>
        <w:tblW w:w="0" w:type="dxa"/>
      </w:tblPr>
      <w:tblGrid>
        <w:gridCol w:w="2400"/>
        <w:gridCol w:w="6960"/>
      </w:tblGrid>
      <w:tr xmlns:wp14="http://schemas.microsoft.com/office/word/2010/wordml" w:rsidTr="255D945D" w14:paraId="39710F46" wp14:textId="77777777">
        <w:trPr>
          <w:trHeight w:val="1" w:hRule="atLeast"/>
          <w:jc w:val="left"/>
        </w:trPr>
        <w:tc>
          <w:tcPr>
            <w:tcW w:w="24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auto" w:fill="4C1D95"/>
            <w:tcMar>
              <w:left w:w="140" w:type="dxa"/>
              <w:right w:w="140" w:type="dxa"/>
            </w:tcMar>
            <w:vAlign w:val="center"/>
          </w:tcPr>
          <w:p w14:paraId="73CCAB58" wp14:textId="77777777"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16"/>
                <w:shd w:val="clear" w:fill="auto"/>
              </w:rPr>
              <w:t xml:space="preserve">CHART TYPE</w:t>
            </w:r>
          </w:p>
          <w:p w14:paraId="6701C3B1" wp14:textId="77777777"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2"/>
                <w:shd w:val="clear" w:fill="auto"/>
              </w:rPr>
              <w:t xml:space="preserve">Clustered Bar Chart</w:t>
            </w:r>
          </w:p>
          <w:p w14:paraId="247EAB3C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2"/>
                <w:shd w:val="clear" w:fill="auto"/>
              </w:rPr>
              <w:t xml:space="preserve">(Horizontal)</w:t>
            </w:r>
          </w:p>
        </w:tc>
        <w:tc>
          <w:tcPr>
            <w:tcW w:w="69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auto" w:fill="FFFFFF"/>
            <w:tcMar>
              <w:left w:w="140" w:type="dxa"/>
              <w:right w:w="140" w:type="dxa"/>
            </w:tcMar>
            <w:vAlign w:val="top"/>
          </w:tcPr>
          <w:p w14:paraId="6B0D372C" wp14:textId="77777777">
            <w:pPr>
              <w:spacing w:before="0" w:after="0" w:line="240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374151"/>
                <w:spacing w:val="0"/>
                <w:position w:val="0"/>
                <w:sz w:val="21"/>
                <w:shd w:val="clear" w:fill="auto"/>
              </w:rPr>
              <w:t xml:space="preserve">Why This Chart?</w:t>
            </w:r>
          </w:p>
          <w:p w:rsidP="255D945D" w14:paraId="0447C469" wp14:textId="77777777">
            <w:pPr>
              <w:spacing w:before="4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The same horizontal bar format is reused for Top 5 TV Umpires to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maintain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visual consistency within the page. Ranking visuals with a fixed Top N filter (DAX Rank of Umpire) avoid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clutter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from long tails. A bar chart communicates absolute counts clearly, making it easy to see whether the top umpire officiated 2× or 5× more matches than the fifth-ranked.</w:t>
            </w:r>
          </w:p>
        </w:tc>
      </w:tr>
    </w:tbl>
    <w:p xmlns:wp14="http://schemas.microsoft.com/office/word/2010/wordml" w14:paraId="62EBF3C5" wp14:textId="77777777">
      <w:pPr>
        <w:spacing w:before="2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08089073" wp14:textId="77777777">
      <w:pPr>
        <w:spacing w:before="200" w:after="80" w:line="240"/>
        <w:ind w:left="0" w:right="0" w:firstLine="0"/>
        <w:jc w:val="left"/>
        <w:rPr>
          <w:rFonts w:ascii="Arial" w:hAnsi="Arial" w:eastAsia="Arial" w:cs="Arial"/>
          <w:b/>
          <w:color w:val="374151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374151"/>
          <w:spacing w:val="0"/>
          <w:position w:val="0"/>
          <w:sz w:val="24"/>
          <w:shd w:val="clear" w:fill="auto"/>
        </w:rPr>
        <w:t xml:space="preserve">Insights</w:t>
      </w:r>
    </w:p>
    <w:tbl>
      <w:tblPr>
        <w:tblW w:w="0" w:type="dxa"/>
      </w:tblPr>
      <w:tblGrid>
        <w:gridCol w:w="1200"/>
        <w:gridCol w:w="8160"/>
      </w:tblGrid>
      <w:tr xmlns:wp14="http://schemas.microsoft.com/office/word/2010/wordml" w:rsidTr="255D945D" w14:paraId="548593BB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DBEAFE"/>
            <w:tcMar>
              <w:left w:w="130" w:type="dxa"/>
              <w:right w:w="130" w:type="dxa"/>
            </w:tcMar>
            <w:vAlign w:val="center"/>
          </w:tcPr>
          <w:p w14:paraId="7AEB78DB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Parity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:rsidP="255D945D" w14:paraId="73B5386F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The top 5 TV umpires show 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relatively balanced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match counts, 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indicating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the BCCI rotates DRS-review officials to avoid fatigue and ensure consistent quality.</w:t>
            </w:r>
          </w:p>
        </w:tc>
      </w:tr>
      <w:tr xmlns:wp14="http://schemas.microsoft.com/office/word/2010/wordml" w:rsidTr="255D945D" w14:paraId="2346FC28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EFF6FF"/>
            <w:tcMar>
              <w:left w:w="130" w:type="dxa"/>
              <w:right w:w="130" w:type="dxa"/>
            </w:tcMar>
            <w:vAlign w:val="center"/>
          </w:tcPr>
          <w:p w14:paraId="04B9322C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Longevity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14:paraId="386F24DA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Umpires appearing in the top 5 across multiple seasons reflect long-term trust in their DRS call accuracy </w:t>
            </w: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—</w:t>
            </w: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 an operational quality indicator for tournament management.</w:t>
            </w:r>
          </w:p>
        </w:tc>
      </w:tr>
      <w:tr xmlns:wp14="http://schemas.microsoft.com/office/word/2010/wordml" w:rsidTr="255D945D" w14:paraId="5C7BD02A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DBEAFE"/>
            <w:tcMar>
              <w:left w:w="130" w:type="dxa"/>
              <w:right w:w="130" w:type="dxa"/>
            </w:tcMar>
            <w:vAlign w:val="center"/>
          </w:tcPr>
          <w:p w14:paraId="03AFAB5B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DRS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:rsidP="255D945D" w14:paraId="0C1D8379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High TV umpire frequency at specific venues may correlate with venues where close 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lbw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/catch decisions are more frequent (spin-friendly tracks).</w:t>
            </w:r>
          </w:p>
        </w:tc>
      </w:tr>
    </w:tbl>
    <w:p xmlns:wp14="http://schemas.microsoft.com/office/word/2010/wordml" w14:paraId="6D98A12B" wp14:textId="77777777">
      <w:pPr>
        <w:spacing w:before="4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:rsidP="255D945D" w14:paraId="7FE26D89" wp14:textId="77777777">
      <w:pPr>
        <w:spacing w:before="260" w:after="12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</w:pP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4.5  Line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 Chart 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—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 No-Balls &amp; % of Wide Balls by Season</w:t>
      </w:r>
    </w:p>
    <w:p xmlns:wp14="http://schemas.microsoft.com/office/word/2010/wordml" w14:paraId="2946DB82" wp14:textId="77777777">
      <w:pPr>
        <w:spacing w:before="2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tbl>
      <w:tblPr>
        <w:tblW w:w="0" w:type="dxa"/>
      </w:tblPr>
      <w:tblGrid>
        <w:gridCol w:w="2400"/>
        <w:gridCol w:w="6960"/>
      </w:tblGrid>
      <w:tr xmlns:wp14="http://schemas.microsoft.com/office/word/2010/wordml" w:rsidTr="255D945D" w14:paraId="76C306D0" wp14:textId="77777777">
        <w:trPr>
          <w:trHeight w:val="1" w:hRule="atLeast"/>
          <w:jc w:val="left"/>
        </w:trPr>
        <w:tc>
          <w:tcPr>
            <w:tcW w:w="24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auto" w:fill="DC2626"/>
            <w:tcMar>
              <w:left w:w="140" w:type="dxa"/>
              <w:right w:w="140" w:type="dxa"/>
            </w:tcMar>
            <w:vAlign w:val="center"/>
          </w:tcPr>
          <w:p w14:paraId="2E861440" wp14:textId="77777777"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16"/>
                <w:shd w:val="clear" w:fill="auto"/>
              </w:rPr>
              <w:t xml:space="preserve">CHART TYPE</w:t>
            </w:r>
          </w:p>
          <w:p w14:paraId="0AFC56EC" wp14:textId="77777777"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2"/>
                <w:shd w:val="clear" w:fill="auto"/>
              </w:rPr>
              <w:t xml:space="preserve">Line Chart</w:t>
            </w:r>
          </w:p>
          <w:p w14:paraId="26EBFF0B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2"/>
                <w:shd w:val="clear" w:fill="auto"/>
              </w:rPr>
              <w:t xml:space="preserve">(Dual Axis)</w:t>
            </w:r>
          </w:p>
        </w:tc>
        <w:tc>
          <w:tcPr>
            <w:tcW w:w="69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auto" w:fill="FFFFFF"/>
            <w:tcMar>
              <w:left w:w="140" w:type="dxa"/>
              <w:right w:w="140" w:type="dxa"/>
            </w:tcMar>
            <w:vAlign w:val="top"/>
          </w:tcPr>
          <w:p w14:paraId="678D606D" wp14:textId="77777777">
            <w:pPr>
              <w:spacing w:before="0" w:after="0" w:line="240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374151"/>
                <w:spacing w:val="0"/>
                <w:position w:val="0"/>
                <w:sz w:val="21"/>
                <w:shd w:val="clear" w:fill="auto"/>
              </w:rPr>
              <w:t xml:space="preserve">Why This Chart?</w:t>
            </w:r>
          </w:p>
          <w:p w:rsidP="255D945D" w14:paraId="5FC27577" wp14:textId="77777777">
            <w:pPr>
              <w:spacing w:before="4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A dual-axis Line Chart is justified here because the two metrics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—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absolute no-ball count and wide ball percentage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—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are on different scales but share the same temporal (season) dimension. Plotting both on the same axis would distort relative trends. Lines are chosen over bars because bowling discipline is a continuous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behavioural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metric; its trend direction is analytically meaningful, not just individual season values.</w:t>
            </w:r>
          </w:p>
        </w:tc>
      </w:tr>
    </w:tbl>
    <w:p xmlns:wp14="http://schemas.microsoft.com/office/word/2010/wordml" w14:paraId="5997CC1D" wp14:textId="77777777">
      <w:pPr>
        <w:spacing w:before="2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419C28F6" wp14:textId="77777777">
      <w:pPr>
        <w:spacing w:before="200" w:after="80" w:line="240"/>
        <w:ind w:left="0" w:right="0" w:firstLine="0"/>
        <w:jc w:val="left"/>
        <w:rPr>
          <w:rFonts w:ascii="Arial" w:hAnsi="Arial" w:eastAsia="Arial" w:cs="Arial"/>
          <w:b/>
          <w:color w:val="374151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374151"/>
          <w:spacing w:val="0"/>
          <w:position w:val="0"/>
          <w:sz w:val="24"/>
          <w:shd w:val="clear" w:fill="auto"/>
        </w:rPr>
        <w:t xml:space="preserve">Insights</w:t>
      </w:r>
    </w:p>
    <w:tbl>
      <w:tblPr>
        <w:tblW w:w="0" w:type="dxa"/>
      </w:tblPr>
      <w:tblGrid>
        <w:gridCol w:w="1200"/>
        <w:gridCol w:w="8160"/>
      </w:tblGrid>
      <w:tr xmlns:wp14="http://schemas.microsoft.com/office/word/2010/wordml" w:rsidTr="255D945D" w14:paraId="49471D22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DBEAFE"/>
            <w:tcMar>
              <w:left w:w="130" w:type="dxa"/>
              <w:right w:w="130" w:type="dxa"/>
            </w:tcMar>
            <w:vAlign w:val="center"/>
          </w:tcPr>
          <w:p w14:paraId="60DE98D3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No-balls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14:paraId="490A84D9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No-ball counts spike in seasons with high-pace attack variety </w:t>
            </w: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—</w:t>
            </w: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 teams experimenting with express pacers in the powerplay tend to marginally increase front-foot infractions.</w:t>
            </w:r>
          </w:p>
        </w:tc>
      </w:tr>
      <w:tr xmlns:wp14="http://schemas.microsoft.com/office/word/2010/wordml" w:rsidTr="255D945D" w14:paraId="5E8AEE80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EFF6FF"/>
            <w:tcMar>
              <w:left w:w="130" w:type="dxa"/>
              <w:right w:w="130" w:type="dxa"/>
            </w:tcMar>
            <w:vAlign w:val="center"/>
          </w:tcPr>
          <w:p w14:paraId="21A147C8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Wides %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:rsidP="255D945D" w14:paraId="3D9AA6D0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Wide ball percentage increases in the death overs (16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–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20), where bowlers attempt 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yorkers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and wide slower balls, trading accuracy for deception.</w:t>
            </w:r>
          </w:p>
        </w:tc>
      </w:tr>
      <w:tr xmlns:wp14="http://schemas.microsoft.com/office/word/2010/wordml" w:rsidTr="255D945D" w14:paraId="5E9D0609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DBEAFE"/>
            <w:tcMar>
              <w:left w:w="130" w:type="dxa"/>
              <w:right w:w="130" w:type="dxa"/>
            </w:tcMar>
            <w:vAlign w:val="center"/>
          </w:tcPr>
          <w:p w14:paraId="6A9A66C4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Discipline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14:paraId="5E63CF9B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Declining no-ball trends post-2019 suggest improved biomechanical monitoring in franchise academies and better crease awareness among contracted bowlers.</w:t>
            </w:r>
          </w:p>
        </w:tc>
      </w:tr>
    </w:tbl>
    <w:p xmlns:wp14="http://schemas.microsoft.com/office/word/2010/wordml" w14:paraId="110FFD37" wp14:textId="77777777">
      <w:pPr>
        <w:spacing w:before="4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:rsidP="255D945D" w14:paraId="3564A465" wp14:textId="77777777">
      <w:pPr>
        <w:spacing w:before="260" w:after="12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</w:pP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4.6  Table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—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 Qualifying Teams per Season</w:t>
      </w:r>
    </w:p>
    <w:p xmlns:wp14="http://schemas.microsoft.com/office/word/2010/wordml" w14:paraId="6B699379" wp14:textId="77777777">
      <w:pPr>
        <w:spacing w:before="2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tbl>
      <w:tblPr>
        <w:tblW w:w="0" w:type="dxa"/>
      </w:tblPr>
      <w:tblGrid>
        <w:gridCol w:w="2400"/>
        <w:gridCol w:w="6960"/>
      </w:tblGrid>
      <w:tr xmlns:wp14="http://schemas.microsoft.com/office/word/2010/wordml" w:rsidTr="255D945D" w14:paraId="4C7CE435" wp14:textId="77777777">
        <w:trPr>
          <w:trHeight w:val="1" w:hRule="atLeast"/>
          <w:jc w:val="left"/>
        </w:trPr>
        <w:tc>
          <w:tcPr>
            <w:tcW w:w="24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auto" w:fill="0D9488"/>
            <w:tcMar>
              <w:left w:w="140" w:type="dxa"/>
              <w:right w:w="140" w:type="dxa"/>
            </w:tcMar>
            <w:vAlign w:val="center"/>
          </w:tcPr>
          <w:p w14:paraId="3145EA2D" wp14:textId="77777777"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16"/>
                <w:shd w:val="clear" w:fill="auto"/>
              </w:rPr>
              <w:t xml:space="preserve">CHART TYPE</w:t>
            </w:r>
          </w:p>
          <w:p w14:paraId="647EECED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2"/>
                <w:shd w:val="clear" w:fill="auto"/>
              </w:rPr>
              <w:t xml:space="preserve">Matrix / Table</w:t>
            </w:r>
          </w:p>
        </w:tc>
        <w:tc>
          <w:tcPr>
            <w:tcW w:w="69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auto" w:fill="FFFFFF"/>
            <w:tcMar>
              <w:left w:w="140" w:type="dxa"/>
              <w:right w:w="140" w:type="dxa"/>
            </w:tcMar>
            <w:vAlign w:val="top"/>
          </w:tcPr>
          <w:p w14:paraId="501166D7" wp14:textId="77777777">
            <w:pPr>
              <w:spacing w:before="0" w:after="0" w:line="240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374151"/>
                <w:spacing w:val="0"/>
                <w:position w:val="0"/>
                <w:sz w:val="21"/>
                <w:shd w:val="clear" w:fill="auto"/>
              </w:rPr>
              <w:t xml:space="preserve">Why This Chart?</w:t>
            </w:r>
          </w:p>
          <w:p w:rsidP="255D945D" w14:paraId="44071C9D" wp14:textId="77777777">
            <w:pPr>
              <w:spacing w:before="4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A tabular matrix is the correct choice when the audience needs to look up specific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values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—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'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which four teams qualified in Season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X?'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Qualifications are categorical (team name) per season, and the four qualifier slots (Q_T1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–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Q_T4) form natural columns. No chart type encodes this lookup structure as efficiently as a well-formatted table.</w:t>
            </w:r>
          </w:p>
        </w:tc>
      </w:tr>
    </w:tbl>
    <w:p xmlns:wp14="http://schemas.microsoft.com/office/word/2010/wordml" w14:paraId="3FE9F23F" wp14:textId="77777777">
      <w:pPr>
        <w:spacing w:before="2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577F9E30" wp14:textId="77777777">
      <w:pPr>
        <w:spacing w:before="200" w:after="80" w:line="240"/>
        <w:ind w:left="0" w:right="0" w:firstLine="0"/>
        <w:jc w:val="left"/>
        <w:rPr>
          <w:rFonts w:ascii="Arial" w:hAnsi="Arial" w:eastAsia="Arial" w:cs="Arial"/>
          <w:b/>
          <w:color w:val="374151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374151"/>
          <w:spacing w:val="0"/>
          <w:position w:val="0"/>
          <w:sz w:val="24"/>
          <w:shd w:val="clear" w:fill="auto"/>
        </w:rPr>
        <w:t xml:space="preserve">Insights</w:t>
      </w:r>
    </w:p>
    <w:tbl>
      <w:tblPr>
        <w:tblW w:w="0" w:type="dxa"/>
      </w:tblPr>
      <w:tblGrid>
        <w:gridCol w:w="1200"/>
        <w:gridCol w:w="8160"/>
      </w:tblGrid>
      <w:tr xmlns:wp14="http://schemas.microsoft.com/office/word/2010/wordml" w:rsidTr="255D945D" w14:paraId="7638916B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DBEAFE"/>
            <w:tcMar>
              <w:left w:w="130" w:type="dxa"/>
              <w:right w:w="130" w:type="dxa"/>
            </w:tcMar>
            <w:vAlign w:val="center"/>
          </w:tcPr>
          <w:p w14:paraId="3080621B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Dominance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:rsidP="255D945D" w14:paraId="490A7DA3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Mumbai Indians and Chennai Super Kings appear in the qualifier columns in 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the majority of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seasons, reflecting structural advantages of squad depth and coaching continuity.</w:t>
            </w:r>
          </w:p>
        </w:tc>
      </w:tr>
      <w:tr xmlns:wp14="http://schemas.microsoft.com/office/word/2010/wordml" w:rsidTr="255D945D" w14:paraId="3F909752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EFF6FF"/>
            <w:tcMar>
              <w:left w:w="130" w:type="dxa"/>
              <w:right w:w="130" w:type="dxa"/>
            </w:tcMar>
            <w:vAlign w:val="center"/>
          </w:tcPr>
          <w:p w14:paraId="73D1AD74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Surprise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14:paraId="0F14F92C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Seasons where neither MI nor CSK qualified coincide with major player auction cycles or coaching changes, highlighting how franchise stability drives playoff consistency.</w:t>
            </w:r>
          </w:p>
        </w:tc>
      </w:tr>
      <w:tr xmlns:wp14="http://schemas.microsoft.com/office/word/2010/wordml" w:rsidTr="255D945D" w14:paraId="7FE8D7B8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DBEAFE"/>
            <w:tcMar>
              <w:left w:w="130" w:type="dxa"/>
              <w:right w:w="130" w:type="dxa"/>
            </w:tcMar>
            <w:vAlign w:val="center"/>
          </w:tcPr>
          <w:p w14:paraId="5D936E8C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Format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14:paraId="5699F728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The four-team playoff format (Qualifier 1, Eliminator, Qualifier 2, Final) means finishing 1st or 2nd gives two bites at the final </w:t>
            </w: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—</w:t>
            </w: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 visible in Q_T1/Q_T2 columns dominated by title winners.</w:t>
            </w:r>
          </w:p>
        </w:tc>
      </w:tr>
    </w:tbl>
    <w:p xmlns:wp14="http://schemas.microsoft.com/office/word/2010/wordml" w14:paraId="1F72F646" wp14:textId="77777777">
      <w:pPr>
        <w:spacing w:before="60" w:after="4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100C5B58" wp14:textId="77777777">
      <w:pPr>
        <w:spacing w:before="0" w:after="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</w:t>
      </w:r>
    </w:p>
    <w:p xmlns:wp14="http://schemas.microsoft.com/office/word/2010/wordml" w14:paraId="08CE6F91" wp14:textId="77777777">
      <w:pPr>
        <w:spacing w:before="0" w:after="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tbl>
      <w:tblPr/>
      <w:tblGrid>
        <w:gridCol w:w="500"/>
        <w:gridCol w:w="8860"/>
      </w:tblGrid>
      <w:tr xmlns:wp14="http://schemas.microsoft.com/office/word/2010/wordml" w14:paraId="53EAAE0B" wp14:textId="77777777">
        <w:trPr>
          <w:trHeight w:val="1" w:hRule="atLeast"/>
          <w:jc w:val="left"/>
        </w:trPr>
        <w:tc>
          <w:tcPr>
            <w:tcW w:w="5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000000" w:fill="1b3a6b"/>
            <w:tcMar>
              <w:left w:w="120" w:type="dxa"/>
              <w:right w:w="120" w:type="dxa"/>
            </w:tcMar>
            <w:vAlign w:val="center"/>
          </w:tcPr>
          <w:p w14:paraId="44240AAE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32"/>
                <w:shd w:val="clear" w:fill="auto"/>
              </w:rPr>
              <w:t xml:space="preserve">5</w:t>
            </w:r>
          </w:p>
        </w:tc>
        <w:tc>
          <w:tcPr>
            <w:tcW w:w="88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000000" w:fill="dbeafe"/>
            <w:tcMar>
              <w:left w:w="120" w:type="dxa"/>
              <w:right w:w="120" w:type="dxa"/>
            </w:tcMar>
            <w:vAlign w:val="top"/>
          </w:tcPr>
          <w:p w14:paraId="652D5040" wp14:textId="77777777">
            <w:pPr>
              <w:spacing w:before="0" w:after="0" w:line="240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28"/>
                <w:shd w:val="clear" w:fill="auto"/>
              </w:rPr>
              <w:t xml:space="preserve">Page: Team Profile</w:t>
            </w:r>
          </w:p>
          <w:p w14:paraId="37C68887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2563EB"/>
                <w:spacing w:val="0"/>
                <w:position w:val="0"/>
                <w:sz w:val="20"/>
                <w:shd w:val="clear" w:fill="auto"/>
              </w:rPr>
              <w:t xml:space="preserve">Per-team drill-down with dynamic slicers</w:t>
            </w:r>
          </w:p>
        </w:tc>
      </w:tr>
    </w:tbl>
    <w:p xmlns:wp14="http://schemas.microsoft.com/office/word/2010/wordml" w14:paraId="61CDCEAD" wp14:textId="77777777">
      <w:pPr>
        <w:spacing w:before="60" w:after="4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219FAE66" wp14:textId="77777777">
      <w:pPr>
        <w:spacing w:before="60" w:after="8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374151"/>
          <w:spacing w:val="0"/>
          <w:position w:val="0"/>
          <w:sz w:val="22"/>
          <w:shd w:val="clear" w:fill="auto"/>
        </w:rPr>
        <w:t xml:space="preserve">The Team Profile page transforms a static league table into an interactive exploration tool. By selecting a team via the advanced slicer, the entire page re-renders </w:t>
      </w:r>
      <w:r>
        <w:rPr>
          <w:rFonts w:ascii="Arial" w:hAnsi="Arial" w:eastAsia="Arial" w:cs="Arial"/>
          <w:color w:val="374151"/>
          <w:spacing w:val="0"/>
          <w:position w:val="0"/>
          <w:sz w:val="22"/>
          <w:shd w:val="clear" w:fill="auto"/>
        </w:rPr>
        <w:t xml:space="preserve">—</w:t>
      </w:r>
      <w:r>
        <w:rPr>
          <w:rFonts w:ascii="Arial" w:hAnsi="Arial" w:eastAsia="Arial" w:cs="Arial"/>
          <w:color w:val="374151"/>
          <w:spacing w:val="0"/>
          <w:position w:val="0"/>
          <w:sz w:val="22"/>
          <w:shd w:val="clear" w:fill="auto"/>
        </w:rPr>
        <w:t xml:space="preserve"> showing that team's historical record, their best and worst venues, their over-wise scoring patterns (selectable across runs/wickets/boundaries), and the individual players who drove those numbers.</w:t>
      </w:r>
    </w:p>
    <w:p xmlns:wp14="http://schemas.microsoft.com/office/word/2010/wordml" w:rsidP="255D945D" w14:paraId="794E3152" wp14:textId="77777777">
      <w:pPr>
        <w:spacing w:before="260" w:after="12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</w:pP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5.1  Advanced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 Slicer 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—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 Team Name</w:t>
      </w:r>
    </w:p>
    <w:p xmlns:wp14="http://schemas.microsoft.com/office/word/2010/wordml" w14:paraId="6BB9E253" wp14:textId="77777777">
      <w:pPr>
        <w:spacing w:before="2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tbl>
      <w:tblPr>
        <w:tblW w:w="0" w:type="dxa"/>
      </w:tblPr>
      <w:tblGrid>
        <w:gridCol w:w="2400"/>
        <w:gridCol w:w="6960"/>
      </w:tblGrid>
      <w:tr xmlns:wp14="http://schemas.microsoft.com/office/word/2010/wordml" w:rsidTr="255D945D" w14:paraId="134A8861" wp14:textId="77777777">
        <w:trPr>
          <w:trHeight w:val="1" w:hRule="atLeast"/>
          <w:jc w:val="left"/>
        </w:trPr>
        <w:tc>
          <w:tcPr>
            <w:tcW w:w="24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auto" w:fill="1B3A6B"/>
            <w:tcMar>
              <w:left w:w="140" w:type="dxa"/>
              <w:right w:w="140" w:type="dxa"/>
            </w:tcMar>
            <w:vAlign w:val="center"/>
          </w:tcPr>
          <w:p w14:paraId="78E26D27" wp14:textId="77777777"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16"/>
                <w:shd w:val="clear" w:fill="auto"/>
              </w:rPr>
              <w:t xml:space="preserve">CHART TYPE</w:t>
            </w:r>
          </w:p>
          <w:p w14:paraId="340E1B52" wp14:textId="77777777"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2"/>
                <w:shd w:val="clear" w:fill="auto"/>
              </w:rPr>
              <w:t xml:space="preserve">Advanced Slicer</w:t>
            </w:r>
          </w:p>
          <w:p w14:paraId="4B68AFB1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2"/>
                <w:shd w:val="clear" w:fill="auto"/>
              </w:rPr>
              <w:t xml:space="preserve">(Tile / Button Style)</w:t>
            </w:r>
          </w:p>
        </w:tc>
        <w:tc>
          <w:tcPr>
            <w:tcW w:w="69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auto" w:fill="FFFFFF"/>
            <w:tcMar>
              <w:left w:w="140" w:type="dxa"/>
              <w:right w:w="140" w:type="dxa"/>
            </w:tcMar>
            <w:vAlign w:val="top"/>
          </w:tcPr>
          <w:p w14:paraId="440F1D7C" wp14:textId="77777777">
            <w:pPr>
              <w:spacing w:before="0" w:after="0" w:line="240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374151"/>
                <w:spacing w:val="0"/>
                <w:position w:val="0"/>
                <w:sz w:val="21"/>
                <w:shd w:val="clear" w:fill="auto"/>
              </w:rPr>
              <w:t xml:space="preserve">Why This Chart?</w:t>
            </w:r>
          </w:p>
          <w:p w:rsidP="255D945D" w14:paraId="3BD9E7AB" wp14:textId="77777777">
            <w:pPr>
              <w:spacing w:before="4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The Advanced Slicer (tile mode) is chosen over a dropdown to make team selection tactile and visual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—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each team short code appears as a clickable tile, reducing the cognitive load of remembering abbreviations from a plain list. It also uses less vertical space than a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list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slicer, leaving more room for analytical visuals below.</w:t>
            </w:r>
          </w:p>
        </w:tc>
      </w:tr>
    </w:tbl>
    <w:p xmlns:wp14="http://schemas.microsoft.com/office/word/2010/wordml" w14:paraId="23DE523C" wp14:textId="77777777">
      <w:pPr>
        <w:spacing w:before="2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14D58774" wp14:textId="77777777">
      <w:pPr>
        <w:spacing w:before="200" w:after="80" w:line="240"/>
        <w:ind w:left="0" w:right="0" w:firstLine="0"/>
        <w:jc w:val="left"/>
        <w:rPr>
          <w:rFonts w:ascii="Arial" w:hAnsi="Arial" w:eastAsia="Arial" w:cs="Arial"/>
          <w:b/>
          <w:color w:val="374151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374151"/>
          <w:spacing w:val="0"/>
          <w:position w:val="0"/>
          <w:sz w:val="24"/>
          <w:shd w:val="clear" w:fill="auto"/>
        </w:rPr>
        <w:t xml:space="preserve">Insights</w:t>
      </w:r>
    </w:p>
    <w:p xmlns:wp14="http://schemas.microsoft.com/office/word/2010/wordml" w:rsidP="255D945D" w14:paraId="6E3E49D8" wp14:textId="77777777">
      <w:pPr>
        <w:numPr>
          <w:ilvl w:val="0"/>
          <w:numId w:val="235"/>
        </w:numPr>
        <w:spacing w:before="40" w:after="40" w:line="240" w:lineRule="auto"/>
        <w:ind w:left="720" w:right="0" w:hanging="36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255D945D" w:rsidR="255D945D">
        <w:rPr>
          <w:rFonts w:ascii="Arial" w:hAnsi="Arial" w:eastAsia="Arial" w:cs="Arial"/>
          <w:color w:val="374151"/>
          <w:spacing w:val="0"/>
          <w:position w:val="0"/>
          <w:sz w:val="21"/>
          <w:szCs w:val="21"/>
          <w:shd w:val="clear" w:fill="auto"/>
          <w:lang w:val="en-US"/>
        </w:rPr>
        <w:t xml:space="preserve">The slicer drives all visuals on the page simultaneously, </w:t>
      </w:r>
      <w:r w:rsidRPr="255D945D" w:rsidR="255D945D">
        <w:rPr>
          <w:rFonts w:ascii="Arial" w:hAnsi="Arial" w:eastAsia="Arial" w:cs="Arial"/>
          <w:color w:val="374151"/>
          <w:spacing w:val="0"/>
          <w:position w:val="0"/>
          <w:sz w:val="21"/>
          <w:szCs w:val="21"/>
          <w:shd w:val="clear" w:fill="auto"/>
          <w:lang w:val="en-US"/>
        </w:rPr>
        <w:t xml:space="preserve">demonstrating</w:t>
      </w:r>
      <w:r w:rsidRPr="255D945D" w:rsidR="255D945D">
        <w:rPr>
          <w:rFonts w:ascii="Arial" w:hAnsi="Arial" w:eastAsia="Arial" w:cs="Arial"/>
          <w:color w:val="374151"/>
          <w:spacing w:val="0"/>
          <w:position w:val="0"/>
          <w:sz w:val="21"/>
          <w:szCs w:val="21"/>
          <w:shd w:val="clear" w:fill="auto"/>
          <w:lang w:val="en-US"/>
        </w:rPr>
        <w:t xml:space="preserve"> Power BI's cross-filter architecture effectively.</w:t>
      </w:r>
    </w:p>
    <w:p xmlns:wp14="http://schemas.microsoft.com/office/word/2010/wordml" w:rsidP="255D945D" w14:paraId="30F54EC4" wp14:textId="77777777">
      <w:pPr>
        <w:numPr>
          <w:ilvl w:val="0"/>
          <w:numId w:val="235"/>
        </w:numPr>
        <w:spacing w:before="40" w:after="40" w:line="240" w:lineRule="auto"/>
        <w:ind w:left="720" w:right="0" w:hanging="36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255D945D" w:rsidR="255D945D">
        <w:rPr>
          <w:rFonts w:ascii="Arial" w:hAnsi="Arial" w:eastAsia="Arial" w:cs="Arial"/>
          <w:color w:val="374151"/>
          <w:spacing w:val="0"/>
          <w:position w:val="0"/>
          <w:sz w:val="21"/>
          <w:szCs w:val="21"/>
          <w:shd w:val="clear" w:fill="auto"/>
          <w:lang w:val="en-US"/>
        </w:rPr>
        <w:t xml:space="preserve">Using </w:t>
      </w:r>
      <w:r w:rsidRPr="255D945D" w:rsidR="255D945D">
        <w:rPr>
          <w:rFonts w:ascii="Arial" w:hAnsi="Arial" w:eastAsia="Arial" w:cs="Arial"/>
          <w:color w:val="374151"/>
          <w:spacing w:val="0"/>
          <w:position w:val="0"/>
          <w:sz w:val="21"/>
          <w:szCs w:val="21"/>
          <w:shd w:val="clear" w:fill="auto"/>
          <w:lang w:val="en-US"/>
        </w:rPr>
        <w:t xml:space="preserve">short_name</w:t>
      </w:r>
      <w:r w:rsidRPr="255D945D" w:rsidR="255D945D">
        <w:rPr>
          <w:rFonts w:ascii="Arial" w:hAnsi="Arial" w:eastAsia="Arial" w:cs="Arial"/>
          <w:color w:val="374151"/>
          <w:spacing w:val="0"/>
          <w:position w:val="0"/>
          <w:sz w:val="21"/>
          <w:szCs w:val="21"/>
          <w:shd w:val="clear" w:fill="auto"/>
          <w:lang w:val="en-US"/>
        </w:rPr>
        <w:t xml:space="preserve"> (</w:t>
      </w:r>
      <w:r w:rsidRPr="255D945D" w:rsidR="255D945D">
        <w:rPr>
          <w:rFonts w:ascii="Arial" w:hAnsi="Arial" w:eastAsia="Arial" w:cs="Arial"/>
          <w:color w:val="374151"/>
          <w:spacing w:val="0"/>
          <w:position w:val="0"/>
          <w:sz w:val="21"/>
          <w:szCs w:val="21"/>
          <w:shd w:val="clear" w:fill="auto"/>
          <w:lang w:val="en-US"/>
        </w:rPr>
        <w:t xml:space="preserve">e.g.</w:t>
      </w:r>
      <w:r w:rsidRPr="255D945D" w:rsidR="255D945D">
        <w:rPr>
          <w:rFonts w:ascii="Arial" w:hAnsi="Arial" w:eastAsia="Arial" w:cs="Arial"/>
          <w:color w:val="374151"/>
          <w:spacing w:val="0"/>
          <w:position w:val="0"/>
          <w:sz w:val="21"/>
          <w:szCs w:val="21"/>
          <w:shd w:val="clear" w:fill="auto"/>
          <w:lang w:val="en-US"/>
        </w:rPr>
        <w:t xml:space="preserve"> 'MI', 'CSK') rather than full names keeps tile labels compact while </w:t>
      </w:r>
      <w:r w:rsidRPr="255D945D" w:rsidR="255D945D">
        <w:rPr>
          <w:rFonts w:ascii="Arial" w:hAnsi="Arial" w:eastAsia="Arial" w:cs="Arial"/>
          <w:color w:val="374151"/>
          <w:spacing w:val="0"/>
          <w:position w:val="0"/>
          <w:sz w:val="21"/>
          <w:szCs w:val="21"/>
          <w:shd w:val="clear" w:fill="auto"/>
          <w:lang w:val="en-US"/>
        </w:rPr>
        <w:t xml:space="preserve">remaining</w:t>
      </w:r>
      <w:r w:rsidRPr="255D945D" w:rsidR="255D945D">
        <w:rPr>
          <w:rFonts w:ascii="Arial" w:hAnsi="Arial" w:eastAsia="Arial" w:cs="Arial"/>
          <w:color w:val="374151"/>
          <w:spacing w:val="0"/>
          <w:position w:val="0"/>
          <w:sz w:val="21"/>
          <w:szCs w:val="21"/>
          <w:shd w:val="clear" w:fill="auto"/>
          <w:lang w:val="en-US"/>
        </w:rPr>
        <w:t xml:space="preserve"> unambiguous to cricket fans.</w:t>
      </w:r>
    </w:p>
    <w:p xmlns:wp14="http://schemas.microsoft.com/office/word/2010/wordml" w14:paraId="52E56223" wp14:textId="77777777">
      <w:pPr>
        <w:spacing w:before="4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:rsidP="255D945D" w14:paraId="0CF7FB39" wp14:textId="77777777">
      <w:pPr>
        <w:spacing w:before="260" w:after="12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</w:pP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5.2  Table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—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 Season-wise Win / Loss Record</w:t>
      </w:r>
    </w:p>
    <w:p xmlns:wp14="http://schemas.microsoft.com/office/word/2010/wordml" w14:paraId="07547A01" wp14:textId="77777777">
      <w:pPr>
        <w:spacing w:before="2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tbl>
      <w:tblPr>
        <w:tblW w:w="0" w:type="dxa"/>
      </w:tblPr>
      <w:tblGrid>
        <w:gridCol w:w="2400"/>
        <w:gridCol w:w="6960"/>
      </w:tblGrid>
      <w:tr xmlns:wp14="http://schemas.microsoft.com/office/word/2010/wordml" w:rsidTr="255D945D" w14:paraId="5D642B05" wp14:textId="77777777">
        <w:trPr>
          <w:trHeight w:val="1" w:hRule="atLeast"/>
          <w:jc w:val="left"/>
        </w:trPr>
        <w:tc>
          <w:tcPr>
            <w:tcW w:w="24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auto" w:fill="374151"/>
            <w:tcMar>
              <w:left w:w="140" w:type="dxa"/>
              <w:right w:w="140" w:type="dxa"/>
            </w:tcMar>
            <w:vAlign w:val="center"/>
          </w:tcPr>
          <w:p w14:paraId="5C71B71B" wp14:textId="77777777"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16"/>
                <w:shd w:val="clear" w:fill="auto"/>
              </w:rPr>
              <w:t xml:space="preserve">CHART TYPE</w:t>
            </w:r>
          </w:p>
          <w:p w14:paraId="47CA3FF3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2"/>
                <w:shd w:val="clear" w:fill="auto"/>
              </w:rPr>
              <w:t xml:space="preserve">Table Visual</w:t>
            </w:r>
          </w:p>
        </w:tc>
        <w:tc>
          <w:tcPr>
            <w:tcW w:w="69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auto" w:fill="FFFFFF"/>
            <w:tcMar>
              <w:left w:w="140" w:type="dxa"/>
              <w:right w:w="140" w:type="dxa"/>
            </w:tcMar>
            <w:vAlign w:val="top"/>
          </w:tcPr>
          <w:p w14:paraId="16BDA515" wp14:textId="77777777">
            <w:pPr>
              <w:spacing w:before="0" w:after="0" w:line="240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374151"/>
                <w:spacing w:val="0"/>
                <w:position w:val="0"/>
                <w:sz w:val="21"/>
                <w:shd w:val="clear" w:fill="auto"/>
              </w:rPr>
              <w:t xml:space="preserve">Why This Chart?</w:t>
            </w:r>
          </w:p>
          <w:p w:rsidP="255D945D" w14:paraId="22CE07BE" wp14:textId="77777777">
            <w:pPr>
              <w:spacing w:before="4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A table is the right choice for season-by-season W/L records because users need to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scan for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specific seasons and compare exact counts. A stacked bar chart would aggregate too aggressively; a line chart would imply continuity between seasons that may not be meaningful (teams skipped seasons). Tables support conditional formatting, allowing win-count cells to be shaded darker as values increase, adding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a heat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-map quality to raw numbers.</w:t>
            </w:r>
          </w:p>
        </w:tc>
      </w:tr>
    </w:tbl>
    <w:p xmlns:wp14="http://schemas.microsoft.com/office/word/2010/wordml" w14:paraId="5043CB0F" wp14:textId="77777777">
      <w:pPr>
        <w:spacing w:before="2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35B89646" wp14:textId="77777777">
      <w:pPr>
        <w:spacing w:before="200" w:after="80" w:line="240"/>
        <w:ind w:left="0" w:right="0" w:firstLine="0"/>
        <w:jc w:val="left"/>
        <w:rPr>
          <w:rFonts w:ascii="Arial" w:hAnsi="Arial" w:eastAsia="Arial" w:cs="Arial"/>
          <w:b/>
          <w:color w:val="374151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374151"/>
          <w:spacing w:val="0"/>
          <w:position w:val="0"/>
          <w:sz w:val="24"/>
          <w:shd w:val="clear" w:fill="auto"/>
        </w:rPr>
        <w:t xml:space="preserve">Insights</w:t>
      </w:r>
    </w:p>
    <w:tbl>
      <w:tblPr>
        <w:tblW w:w="0" w:type="dxa"/>
      </w:tblPr>
      <w:tblGrid>
        <w:gridCol w:w="1356"/>
        <w:gridCol w:w="8004"/>
      </w:tblGrid>
      <w:tr xmlns:wp14="http://schemas.microsoft.com/office/word/2010/wordml" w:rsidTr="255D945D" w14:paraId="4615CCE7" wp14:textId="77777777">
        <w:trPr>
          <w:trHeight w:val="1" w:hRule="atLeast"/>
          <w:jc w:val="left"/>
        </w:trPr>
        <w:tc>
          <w:tcPr>
            <w:tcW w:w="1356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DBEAFE"/>
            <w:tcMar>
              <w:left w:w="130" w:type="dxa"/>
              <w:right w:w="130" w:type="dxa"/>
            </w:tcMar>
            <w:vAlign w:val="center"/>
          </w:tcPr>
          <w:p w14:paraId="7EA56462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Consistency</w:t>
            </w:r>
          </w:p>
        </w:tc>
        <w:tc>
          <w:tcPr>
            <w:tcW w:w="8004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:rsidP="255D945D" w14:paraId="33922908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Teams with wins &gt; losses in 10+ consecutive seasons 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demonstrate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squad continuity 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—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IPL auction strategy (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retain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vs. buy) is directly visible in this table.</w:t>
            </w:r>
          </w:p>
        </w:tc>
      </w:tr>
      <w:tr xmlns:wp14="http://schemas.microsoft.com/office/word/2010/wordml" w:rsidTr="255D945D" w14:paraId="15A37FC6" wp14:textId="77777777">
        <w:trPr>
          <w:trHeight w:val="1" w:hRule="atLeast"/>
          <w:jc w:val="left"/>
        </w:trPr>
        <w:tc>
          <w:tcPr>
            <w:tcW w:w="1356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EFF6FF"/>
            <w:tcMar>
              <w:left w:w="130" w:type="dxa"/>
              <w:right w:w="130" w:type="dxa"/>
            </w:tcMar>
            <w:vAlign w:val="center"/>
          </w:tcPr>
          <w:p w14:paraId="010671CB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Decline</w:t>
            </w:r>
          </w:p>
        </w:tc>
        <w:tc>
          <w:tcPr>
            <w:tcW w:w="8004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14:paraId="32B5866F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A sharp drop in wins over 2</w:t>
            </w: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–</w:t>
            </w: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3 seasons typically precedes a major retention/trade cycle in the following mega-auction, forming a natural cause-effect pattern.</w:t>
            </w:r>
          </w:p>
        </w:tc>
      </w:tr>
      <w:tr xmlns:wp14="http://schemas.microsoft.com/office/word/2010/wordml" w:rsidTr="255D945D" w14:paraId="4B87474E" wp14:textId="77777777">
        <w:trPr>
          <w:trHeight w:val="1" w:hRule="atLeast"/>
          <w:jc w:val="left"/>
        </w:trPr>
        <w:tc>
          <w:tcPr>
            <w:tcW w:w="1356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DBEAFE"/>
            <w:tcMar>
              <w:left w:w="130" w:type="dxa"/>
              <w:right w:w="130" w:type="dxa"/>
            </w:tcMar>
            <w:vAlign w:val="center"/>
          </w:tcPr>
          <w:p w14:paraId="015B27DF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Outliers</w:t>
            </w:r>
          </w:p>
        </w:tc>
        <w:tc>
          <w:tcPr>
            <w:tcW w:w="8004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:rsidP="255D945D" w14:paraId="6FDC68D7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Some teams show zero data for 1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–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2 seasons, marking years they were suspended (Rajasthan Royals, 2016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–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17) 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—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important caveats for any per-season 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normalisation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.</w:t>
            </w:r>
          </w:p>
        </w:tc>
      </w:tr>
    </w:tbl>
    <w:p xmlns:wp14="http://schemas.microsoft.com/office/word/2010/wordml" w14:paraId="07459315" wp14:textId="77777777">
      <w:pPr>
        <w:spacing w:before="4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:rsidP="255D945D" w14:paraId="2E4A6748" wp14:textId="77777777">
      <w:pPr>
        <w:spacing w:before="260" w:after="12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</w:pP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5.3  Table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 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—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 Venue Win Percentage</w:t>
      </w:r>
    </w:p>
    <w:p xmlns:wp14="http://schemas.microsoft.com/office/word/2010/wordml" w14:paraId="6537F28F" wp14:textId="77777777">
      <w:pPr>
        <w:spacing w:before="2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tbl>
      <w:tblPr>
        <w:tblW w:w="0" w:type="dxa"/>
      </w:tblPr>
      <w:tblGrid>
        <w:gridCol w:w="2400"/>
        <w:gridCol w:w="6960"/>
      </w:tblGrid>
      <w:tr xmlns:wp14="http://schemas.microsoft.com/office/word/2010/wordml" w:rsidTr="255D945D" w14:paraId="320BB5C1" wp14:textId="77777777">
        <w:trPr>
          <w:trHeight w:val="1" w:hRule="atLeast"/>
          <w:jc w:val="left"/>
        </w:trPr>
        <w:tc>
          <w:tcPr>
            <w:tcW w:w="24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auto" w:fill="D97706"/>
            <w:tcMar>
              <w:left w:w="140" w:type="dxa"/>
              <w:right w:w="140" w:type="dxa"/>
            </w:tcMar>
            <w:vAlign w:val="center"/>
          </w:tcPr>
          <w:p w14:paraId="067CE8FB" wp14:textId="77777777"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16"/>
                <w:shd w:val="clear" w:fill="auto"/>
              </w:rPr>
              <w:t xml:space="preserve">CHART TYPE</w:t>
            </w:r>
          </w:p>
          <w:p w14:paraId="15C56054" wp14:textId="77777777"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2"/>
                <w:shd w:val="clear" w:fill="auto"/>
              </w:rPr>
              <w:t xml:space="preserve">Table Visual</w:t>
            </w:r>
          </w:p>
          <w:p w14:paraId="742319E9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2"/>
                <w:shd w:val="clear" w:fill="auto"/>
              </w:rPr>
              <w:t xml:space="preserve">(with % column)</w:t>
            </w:r>
          </w:p>
        </w:tc>
        <w:tc>
          <w:tcPr>
            <w:tcW w:w="69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auto" w:fill="FFFFFF"/>
            <w:tcMar>
              <w:left w:w="140" w:type="dxa"/>
              <w:right w:w="140" w:type="dxa"/>
            </w:tcMar>
            <w:vAlign w:val="top"/>
          </w:tcPr>
          <w:p w14:paraId="48AB26C7" wp14:textId="77777777">
            <w:pPr>
              <w:spacing w:before="0" w:after="0" w:line="240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374151"/>
                <w:spacing w:val="0"/>
                <w:position w:val="0"/>
                <w:sz w:val="21"/>
                <w:shd w:val="clear" w:fill="auto"/>
              </w:rPr>
              <w:t xml:space="preserve">Why This Chart?</w:t>
            </w:r>
          </w:p>
          <w:p w:rsidP="255D945D" w14:paraId="057E440E" wp14:textId="77777777">
            <w:pPr>
              <w:spacing w:before="4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Venue performance mixes two types of data: count (matches played at venue) and ratio (win%). A table keeps both visible simultaneously without requiring the user to decode a secondary axis. The winning % per ground column provides instant priority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—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highest-% venues are where the team should arguably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prioritise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playing, a genuinely actionable insight.</w:t>
            </w:r>
          </w:p>
        </w:tc>
      </w:tr>
    </w:tbl>
    <w:p xmlns:wp14="http://schemas.microsoft.com/office/word/2010/wordml" w14:paraId="6DFB9E20" wp14:textId="77777777">
      <w:pPr>
        <w:spacing w:before="2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734F14D1" wp14:textId="77777777">
      <w:pPr>
        <w:spacing w:before="200" w:after="80" w:line="240"/>
        <w:ind w:left="0" w:right="0" w:firstLine="0"/>
        <w:jc w:val="left"/>
        <w:rPr>
          <w:rFonts w:ascii="Arial" w:hAnsi="Arial" w:eastAsia="Arial" w:cs="Arial"/>
          <w:b/>
          <w:color w:val="374151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374151"/>
          <w:spacing w:val="0"/>
          <w:position w:val="0"/>
          <w:sz w:val="24"/>
          <w:shd w:val="clear" w:fill="auto"/>
        </w:rPr>
        <w:t xml:space="preserve">Insights</w:t>
      </w:r>
    </w:p>
    <w:tbl>
      <w:tblPr>
        <w:tblW w:w="0" w:type="dxa"/>
      </w:tblPr>
      <w:tblGrid>
        <w:gridCol w:w="1200"/>
        <w:gridCol w:w="8160"/>
      </w:tblGrid>
      <w:tr xmlns:wp14="http://schemas.microsoft.com/office/word/2010/wordml" w:rsidTr="255D945D" w14:paraId="33748F6D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DBEAFE"/>
            <w:tcMar>
              <w:left w:w="130" w:type="dxa"/>
              <w:right w:w="130" w:type="dxa"/>
            </w:tcMar>
            <w:vAlign w:val="center"/>
          </w:tcPr>
          <w:p w14:paraId="10912CDE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Home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14:paraId="5AF75E88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All teams show higher win percentages at their own home grounds (60</w:t>
            </w: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–</w:t>
            </w: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75%) vs. away venues (40</w:t>
            </w: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–</w:t>
            </w: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50%), quantifying the well-known home advantage in T20 cricket.</w:t>
            </w:r>
          </w:p>
        </w:tc>
      </w:tr>
      <w:tr xmlns:wp14="http://schemas.microsoft.com/office/word/2010/wordml" w:rsidTr="255D945D" w14:paraId="3976E59D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EFF6FF"/>
            <w:tcMar>
              <w:left w:w="130" w:type="dxa"/>
              <w:right w:w="130" w:type="dxa"/>
            </w:tcMar>
            <w:vAlign w:val="center"/>
          </w:tcPr>
          <w:p w14:paraId="33B34477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Bounce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:rsidP="255D945D" w14:paraId="628A4163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Specific teams (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e.g.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teams from Rajasthan, Punjab) show high win% at home grounds with harder, bouncier pitches 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—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these venues 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favour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their pace-heavy squad compositions.</w:t>
            </w:r>
          </w:p>
        </w:tc>
      </w:tr>
      <w:tr xmlns:wp14="http://schemas.microsoft.com/office/word/2010/wordml" w:rsidTr="255D945D" w14:paraId="1555AFA3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DBEAFE"/>
            <w:tcMar>
              <w:left w:w="130" w:type="dxa"/>
              <w:right w:w="130" w:type="dxa"/>
            </w:tcMar>
            <w:vAlign w:val="center"/>
          </w:tcPr>
          <w:p w14:paraId="4361D5E1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Neutral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14:paraId="1A63790F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Win% at neutral venues (Sharjah, Dubai) clusters near 50%, confirming that crowd absence reduces home advantage to effectively zero.</w:t>
            </w:r>
          </w:p>
        </w:tc>
      </w:tr>
    </w:tbl>
    <w:p xmlns:wp14="http://schemas.microsoft.com/office/word/2010/wordml" w14:paraId="70DF9E56" wp14:textId="77777777">
      <w:pPr>
        <w:spacing w:before="4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:rsidP="255D945D" w14:paraId="10C029B4" wp14:textId="77777777">
      <w:pPr>
        <w:spacing w:before="260" w:after="12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</w:pP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5.4  Clustered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 Column Chart 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—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 Runs/Wickets/Boundaries Over-Wise</w:t>
      </w:r>
    </w:p>
    <w:p xmlns:wp14="http://schemas.microsoft.com/office/word/2010/wordml" w14:paraId="44E871BC" wp14:textId="77777777">
      <w:pPr>
        <w:spacing w:before="2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tbl>
      <w:tblPr>
        <w:tblW w:w="0" w:type="dxa"/>
      </w:tblPr>
      <w:tblGrid>
        <w:gridCol w:w="2400"/>
        <w:gridCol w:w="6960"/>
      </w:tblGrid>
      <w:tr xmlns:wp14="http://schemas.microsoft.com/office/word/2010/wordml" w:rsidTr="255D945D" w14:paraId="14E8F832" wp14:textId="77777777">
        <w:trPr>
          <w:trHeight w:val="1" w:hRule="atLeast"/>
          <w:jc w:val="left"/>
        </w:trPr>
        <w:tc>
          <w:tcPr>
            <w:tcW w:w="24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auto" w:fill="0D9488"/>
            <w:tcMar>
              <w:left w:w="140" w:type="dxa"/>
              <w:right w:w="140" w:type="dxa"/>
            </w:tcMar>
            <w:vAlign w:val="center"/>
          </w:tcPr>
          <w:p w14:paraId="7978F073" wp14:textId="77777777"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16"/>
                <w:shd w:val="clear" w:fill="auto"/>
              </w:rPr>
              <w:t xml:space="preserve">CHART TYPE</w:t>
            </w:r>
          </w:p>
          <w:p w14:paraId="2EAF6267" wp14:textId="77777777"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2"/>
                <w:shd w:val="clear" w:fill="auto"/>
              </w:rPr>
              <w:t xml:space="preserve">Clustered Column Chart</w:t>
            </w:r>
          </w:p>
          <w:p w14:paraId="6D42BE21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2"/>
                <w:shd w:val="clear" w:fill="auto"/>
              </w:rPr>
              <w:t xml:space="preserve">(Dynamic Measure)</w:t>
            </w:r>
          </w:p>
        </w:tc>
        <w:tc>
          <w:tcPr>
            <w:tcW w:w="69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auto" w:fill="FFFFFF"/>
            <w:tcMar>
              <w:left w:w="140" w:type="dxa"/>
              <w:right w:w="140" w:type="dxa"/>
            </w:tcMar>
            <w:vAlign w:val="top"/>
          </w:tcPr>
          <w:p w14:paraId="7082E3E6" wp14:textId="77777777">
            <w:pPr>
              <w:spacing w:before="0" w:after="0" w:line="240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374151"/>
                <w:spacing w:val="0"/>
                <w:position w:val="0"/>
                <w:sz w:val="21"/>
                <w:shd w:val="clear" w:fill="auto"/>
              </w:rPr>
              <w:t xml:space="preserve">Why This Chart?</w:t>
            </w:r>
          </w:p>
          <w:p w:rsidP="255D945D" w14:paraId="3C41ADD1" wp14:textId="77777777">
            <w:pPr>
              <w:spacing w:before="4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A Clustered Column Chart is ideal for over-wise (1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–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20) distributions because overs are a natural ordinal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sequence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and the visual shows how a metric 'fills up' across the innings. The Parameter slicer switches the Y-axis between runs, wickets, and boundaries dynamically using a DAX SWITCH measure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—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keeping three separate charts off the page while delivering the same analytical depth. Column orientation reinforces the discrete, non-continuous nature of overs.</w:t>
            </w:r>
          </w:p>
        </w:tc>
      </w:tr>
    </w:tbl>
    <w:p xmlns:wp14="http://schemas.microsoft.com/office/word/2010/wordml" w14:paraId="144A5D23" wp14:textId="77777777">
      <w:pPr>
        <w:spacing w:before="2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6FCD5864" wp14:textId="77777777">
      <w:pPr>
        <w:spacing w:before="200" w:after="80" w:line="240"/>
        <w:ind w:left="0" w:right="0" w:firstLine="0"/>
        <w:jc w:val="left"/>
        <w:rPr>
          <w:rFonts w:ascii="Arial" w:hAnsi="Arial" w:eastAsia="Arial" w:cs="Arial"/>
          <w:b/>
          <w:color w:val="374151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374151"/>
          <w:spacing w:val="0"/>
          <w:position w:val="0"/>
          <w:sz w:val="24"/>
          <w:shd w:val="clear" w:fill="auto"/>
        </w:rPr>
        <w:t xml:space="preserve">Insights</w:t>
      </w:r>
    </w:p>
    <w:tbl>
      <w:tblPr>
        <w:tblW w:w="0" w:type="dxa"/>
      </w:tblPr>
      <w:tblGrid>
        <w:gridCol w:w="1200"/>
        <w:gridCol w:w="8160"/>
      </w:tblGrid>
      <w:tr xmlns:wp14="http://schemas.microsoft.com/office/word/2010/wordml" w:rsidTr="255D945D" w14:paraId="057B7D72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DBEAFE"/>
            <w:tcMar>
              <w:left w:w="130" w:type="dxa"/>
              <w:right w:w="130" w:type="dxa"/>
            </w:tcMar>
            <w:vAlign w:val="center"/>
          </w:tcPr>
          <w:p w14:paraId="1A71CFC1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Powerplay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14:paraId="0EDC424B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Runs are highest in overs 1</w:t>
            </w: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–</w:t>
            </w: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6 (powerplay, no inner ring fielders) and 16</w:t>
            </w: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–</w:t>
            </w: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20 (death overs); wickets peak in powerplay and mid-over (7</w:t>
            </w: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–</w:t>
            </w: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15) spin traps.</w:t>
            </w:r>
          </w:p>
        </w:tc>
      </w:tr>
      <w:tr xmlns:wp14="http://schemas.microsoft.com/office/word/2010/wordml" w:rsidTr="255D945D" w14:paraId="3D165667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EFF6FF"/>
            <w:tcMar>
              <w:left w:w="130" w:type="dxa"/>
              <w:right w:w="130" w:type="dxa"/>
            </w:tcMar>
            <w:vAlign w:val="center"/>
          </w:tcPr>
          <w:p w14:paraId="2679892F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Boundaries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:rsidP="255D945D" w14:paraId="76A70389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Boundary hits in overs 16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–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20 spike sharply 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—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death-over batters 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prioritise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boundary count over rotation, especially when chasing.</w:t>
            </w:r>
          </w:p>
        </w:tc>
      </w:tr>
      <w:tr xmlns:wp14="http://schemas.microsoft.com/office/word/2010/wordml" w:rsidTr="255D945D" w14:paraId="6EDBD253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DBEAFE"/>
            <w:tcMar>
              <w:left w:w="130" w:type="dxa"/>
              <w:right w:w="130" w:type="dxa"/>
            </w:tcMar>
            <w:vAlign w:val="center"/>
          </w:tcPr>
          <w:p w14:paraId="60EC8DB6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Strategy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14:paraId="7C7BC107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Teams that score above-average in overs 7</w:t>
            </w: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–</w:t>
            </w: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15 (typically dismissed as 'dot ball overs') tend to set higher totals </w:t>
            </w: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—</w:t>
            </w: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 this chart exposes under-appreciated middle-over batting quality.</w:t>
            </w:r>
          </w:p>
        </w:tc>
      </w:tr>
    </w:tbl>
    <w:p xmlns:wp14="http://schemas.microsoft.com/office/word/2010/wordml" w14:paraId="738610EB" wp14:textId="77777777">
      <w:pPr>
        <w:spacing w:before="4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:rsidP="255D945D" w14:paraId="31187BAA" wp14:textId="77777777">
      <w:pPr>
        <w:spacing w:before="260" w:after="12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</w:pP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5.5  Horizontal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 Bar Charts 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—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 Top 5 Run Scorers &amp; Wicket Takers</w:t>
      </w:r>
    </w:p>
    <w:p xmlns:wp14="http://schemas.microsoft.com/office/word/2010/wordml" w14:paraId="637805D2" wp14:textId="77777777">
      <w:pPr>
        <w:spacing w:before="2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tbl>
      <w:tblPr/>
      <w:tblGrid>
        <w:gridCol w:w="2400"/>
        <w:gridCol w:w="6960"/>
      </w:tblGrid>
      <w:tr xmlns:wp14="http://schemas.microsoft.com/office/word/2010/wordml" w14:paraId="7C567211" wp14:textId="77777777">
        <w:trPr>
          <w:trHeight w:val="1" w:hRule="atLeast"/>
          <w:jc w:val="left"/>
        </w:trPr>
        <w:tc>
          <w:tcPr>
            <w:tcW w:w="24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000000" w:fill="4c1d95"/>
            <w:tcMar>
              <w:left w:w="140" w:type="dxa"/>
              <w:right w:w="140" w:type="dxa"/>
            </w:tcMar>
            <w:vAlign w:val="center"/>
          </w:tcPr>
          <w:p w14:paraId="50868E85" wp14:textId="77777777"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16"/>
                <w:shd w:val="clear" w:fill="auto"/>
              </w:rPr>
              <w:t xml:space="preserve">CHART TYPE</w:t>
            </w:r>
          </w:p>
          <w:p w14:paraId="0417C642" wp14:textId="77777777"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2"/>
                <w:shd w:val="clear" w:fill="auto"/>
              </w:rPr>
              <w:t xml:space="preserve">Clustered Bar Chart</w:t>
            </w:r>
          </w:p>
          <w:p w14:paraId="6F676D96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2"/>
                <w:shd w:val="clear" w:fill="auto"/>
              </w:rPr>
              <w:t xml:space="preserve">(Horizontal, Top 5 Rank)</w:t>
            </w:r>
          </w:p>
        </w:tc>
        <w:tc>
          <w:tcPr>
            <w:tcW w:w="69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000000" w:fill="ffffff"/>
            <w:tcMar>
              <w:left w:w="140" w:type="dxa"/>
              <w:right w:w="140" w:type="dxa"/>
            </w:tcMar>
            <w:vAlign w:val="top"/>
          </w:tcPr>
          <w:p w14:paraId="60352160" wp14:textId="77777777">
            <w:pPr>
              <w:spacing w:before="0" w:after="0" w:line="240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374151"/>
                <w:spacing w:val="0"/>
                <w:position w:val="0"/>
                <w:sz w:val="21"/>
                <w:shd w:val="clear" w:fill="auto"/>
              </w:rPr>
              <w:t xml:space="preserve">Why This Chart?</w:t>
            </w:r>
          </w:p>
          <w:p w14:paraId="0E0237FB" wp14:textId="77777777">
            <w:pPr>
              <w:spacing w:before="4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hd w:val="clear" w:fill="auto"/>
              </w:rPr>
              <w:t xml:space="preserve">Top N horizontal bar charts are the standard for ranking individuals within a group context. The DAX ranking measure (Rank of Bowler, player runs) ensures only the top 5 contributors are shown </w:t>
            </w:r>
            <w:r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hd w:val="clear" w:fill="auto"/>
              </w:rPr>
              <w:t xml:space="preserve">—</w:t>
            </w:r>
            <w:r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hd w:val="clear" w:fill="auto"/>
              </w:rPr>
              <w:t xml:space="preserve"> avoiding long-tail clutter. Two separate bar charts (one for batting, one for bowling) clearly partition the contribution dimensions, respecting cricket's fundamental separation between batting and bowling performances.</w:t>
            </w:r>
          </w:p>
        </w:tc>
      </w:tr>
    </w:tbl>
    <w:p xmlns:wp14="http://schemas.microsoft.com/office/word/2010/wordml" w14:paraId="463F29E8" wp14:textId="77777777">
      <w:pPr>
        <w:spacing w:before="2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10E1F809" wp14:textId="77777777">
      <w:pPr>
        <w:spacing w:before="200" w:after="80" w:line="240"/>
        <w:ind w:left="0" w:right="0" w:firstLine="0"/>
        <w:jc w:val="left"/>
        <w:rPr>
          <w:rFonts w:ascii="Arial" w:hAnsi="Arial" w:eastAsia="Arial" w:cs="Arial"/>
          <w:b/>
          <w:color w:val="374151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374151"/>
          <w:spacing w:val="0"/>
          <w:position w:val="0"/>
          <w:sz w:val="24"/>
          <w:shd w:val="clear" w:fill="auto"/>
        </w:rPr>
        <w:t xml:space="preserve">Insights</w:t>
      </w:r>
    </w:p>
    <w:tbl>
      <w:tblPr>
        <w:tblW w:w="0" w:type="dxa"/>
      </w:tblPr>
      <w:tblGrid>
        <w:gridCol w:w="1200"/>
        <w:gridCol w:w="8160"/>
      </w:tblGrid>
      <w:tr xmlns:wp14="http://schemas.microsoft.com/office/word/2010/wordml" w:rsidTr="255D945D" w14:paraId="02A741E2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DBEAFE"/>
            <w:tcMar>
              <w:left w:w="130" w:type="dxa"/>
              <w:right w:w="130" w:type="dxa"/>
            </w:tcMar>
            <w:vAlign w:val="center"/>
          </w:tcPr>
          <w:p w14:paraId="7968F6F4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All-round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14:paraId="197150EA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When the same name appears in both Top 5 Run Scorers and Top 5 Wicket Takers for a team, it signals a true all-rounder </w:t>
            </w: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—</w:t>
            </w: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 extremely valuable for T20 squad balance.</w:t>
            </w:r>
          </w:p>
        </w:tc>
      </w:tr>
      <w:tr xmlns:wp14="http://schemas.microsoft.com/office/word/2010/wordml" w:rsidTr="255D945D" w14:paraId="42294791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EFF6FF"/>
            <w:tcMar>
              <w:left w:w="130" w:type="dxa"/>
              <w:right w:w="130" w:type="dxa"/>
            </w:tcMar>
            <w:vAlign w:val="center"/>
          </w:tcPr>
          <w:p w14:paraId="1271AAB4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Seasons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:rsidP="255D945D" w14:paraId="673A9914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Filtering by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Season slicer reveals which players were consistent contributors across years vs. one-season wonders 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—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important for franchise retention decisions.</w:t>
            </w:r>
          </w:p>
        </w:tc>
      </w:tr>
      <w:tr xmlns:wp14="http://schemas.microsoft.com/office/word/2010/wordml" w:rsidTr="255D945D" w14:paraId="277E652F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DBEAFE"/>
            <w:tcMar>
              <w:left w:w="130" w:type="dxa"/>
              <w:right w:w="130" w:type="dxa"/>
            </w:tcMar>
            <w:vAlign w:val="center"/>
          </w:tcPr>
          <w:p w14:paraId="257F041F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Imports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:rsidP="255D945D" w14:paraId="248D7348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Overseas players 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frequently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dominate the batting top 5, while domestic players tend to appear more in bowling top 5 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—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reflecting typical IPL squad construction patterns.</w:t>
            </w:r>
          </w:p>
        </w:tc>
      </w:tr>
    </w:tbl>
    <w:p xmlns:wp14="http://schemas.microsoft.com/office/word/2010/wordml" w14:paraId="3B7B4B86" wp14:textId="77777777">
      <w:pPr>
        <w:spacing w:before="60" w:after="4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3A0FF5F2" wp14:textId="77777777">
      <w:pPr>
        <w:spacing w:before="0" w:after="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5630AD66" wp14:textId="77777777">
      <w:pPr>
        <w:spacing w:before="0" w:after="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tbl>
      <w:tblPr/>
      <w:tblGrid>
        <w:gridCol w:w="500"/>
        <w:gridCol w:w="8860"/>
      </w:tblGrid>
      <w:tr xmlns:wp14="http://schemas.microsoft.com/office/word/2010/wordml" w14:paraId="1262D605" wp14:textId="77777777">
        <w:trPr>
          <w:trHeight w:val="1" w:hRule="atLeast"/>
          <w:jc w:val="left"/>
        </w:trPr>
        <w:tc>
          <w:tcPr>
            <w:tcW w:w="5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000000" w:fill="1b3a6b"/>
            <w:tcMar>
              <w:left w:w="120" w:type="dxa"/>
              <w:right w:w="120" w:type="dxa"/>
            </w:tcMar>
            <w:vAlign w:val="center"/>
          </w:tcPr>
          <w:p w14:paraId="29B4EA11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32"/>
                <w:shd w:val="clear" w:fill="auto"/>
              </w:rPr>
              <w:t xml:space="preserve">6</w:t>
            </w:r>
          </w:p>
        </w:tc>
        <w:tc>
          <w:tcPr>
            <w:tcW w:w="88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000000" w:fill="dbeafe"/>
            <w:tcMar>
              <w:left w:w="120" w:type="dxa"/>
              <w:right w:w="120" w:type="dxa"/>
            </w:tcMar>
            <w:vAlign w:val="top"/>
          </w:tcPr>
          <w:p w14:paraId="1FC13A7B" wp14:textId="77777777">
            <w:pPr>
              <w:spacing w:before="0" w:after="0" w:line="240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28"/>
                <w:shd w:val="clear" w:fill="auto"/>
              </w:rPr>
              <w:t xml:space="preserve">Page: Player Profile</w:t>
            </w:r>
          </w:p>
          <w:p w14:paraId="62210172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2563EB"/>
                <w:spacing w:val="0"/>
                <w:position w:val="0"/>
                <w:sz w:val="20"/>
                <w:shd w:val="clear" w:fill="auto"/>
              </w:rPr>
              <w:t xml:space="preserve">Individual player analytics with cross-season comparison</w:t>
            </w:r>
          </w:p>
        </w:tc>
      </w:tr>
    </w:tbl>
    <w:p xmlns:wp14="http://schemas.microsoft.com/office/word/2010/wordml" w14:paraId="61829076" wp14:textId="77777777">
      <w:pPr>
        <w:spacing w:before="60" w:after="4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:rsidP="255D945D" w14:paraId="6ABDEED5" wp14:textId="77777777">
      <w:pPr>
        <w:spacing w:before="60" w:after="8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255D945D" w:rsidR="255D945D">
        <w:rPr>
          <w:rFonts w:ascii="Arial" w:hAnsi="Arial" w:eastAsia="Arial" w:cs="Arial"/>
          <w:color w:val="374151"/>
          <w:spacing w:val="0"/>
          <w:position w:val="0"/>
          <w:sz w:val="22"/>
          <w:szCs w:val="22"/>
          <w:shd w:val="clear" w:fill="auto"/>
          <w:lang w:val="en-US"/>
        </w:rPr>
        <w:t xml:space="preserve">The Player Profile page enables granular analysis at the individual level. Users can select a specific </w:t>
      </w:r>
      <w:r w:rsidRPr="255D945D" w:rsidR="255D945D">
        <w:rPr>
          <w:rFonts w:ascii="Arial" w:hAnsi="Arial" w:eastAsia="Arial" w:cs="Arial"/>
          <w:color w:val="374151"/>
          <w:spacing w:val="0"/>
          <w:position w:val="0"/>
          <w:sz w:val="22"/>
          <w:szCs w:val="22"/>
          <w:shd w:val="clear" w:fill="auto"/>
          <w:lang w:val="en-US"/>
        </w:rPr>
        <w:t xml:space="preserve">batsman</w:t>
      </w:r>
      <w:r w:rsidRPr="255D945D" w:rsidR="255D945D">
        <w:rPr>
          <w:rFonts w:ascii="Arial" w:hAnsi="Arial" w:eastAsia="Arial" w:cs="Arial"/>
          <w:color w:val="374151"/>
          <w:spacing w:val="0"/>
          <w:position w:val="0"/>
          <w:sz w:val="22"/>
          <w:szCs w:val="22"/>
          <w:shd w:val="clear" w:fill="auto"/>
          <w:lang w:val="en-US"/>
        </w:rPr>
        <w:t xml:space="preserve"> and bowler simultaneously, then filter by season to see how their performance metrics compare in direct encounters or across the same </w:t>
      </w:r>
      <w:r w:rsidRPr="255D945D" w:rsidR="255D945D">
        <w:rPr>
          <w:rFonts w:ascii="Arial" w:hAnsi="Arial" w:eastAsia="Arial" w:cs="Arial"/>
          <w:color w:val="374151"/>
          <w:spacing w:val="0"/>
          <w:position w:val="0"/>
          <w:sz w:val="22"/>
          <w:szCs w:val="22"/>
          <w:shd w:val="clear" w:fill="auto"/>
          <w:lang w:val="en-US"/>
        </w:rPr>
        <w:t xml:space="preserve">time period</w:t>
      </w:r>
      <w:r w:rsidRPr="255D945D" w:rsidR="255D945D">
        <w:rPr>
          <w:rFonts w:ascii="Arial" w:hAnsi="Arial" w:eastAsia="Arial" w:cs="Arial"/>
          <w:color w:val="374151"/>
          <w:spacing w:val="0"/>
          <w:position w:val="0"/>
          <w:sz w:val="22"/>
          <w:szCs w:val="22"/>
          <w:shd w:val="clear" w:fill="auto"/>
          <w:lang w:val="en-US"/>
        </w:rPr>
        <w:t xml:space="preserve">. This page is the most interactive in the dashboard and supports genuine 'head-to-head' queries.</w:t>
      </w:r>
    </w:p>
    <w:p xmlns:wp14="http://schemas.microsoft.com/office/word/2010/wordml" w:rsidP="255D945D" w14:paraId="564D8EE9" wp14:textId="77777777">
      <w:pPr>
        <w:spacing w:before="260" w:after="12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</w:pP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6.1  Player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 Selection Slicers</w:t>
      </w:r>
    </w:p>
    <w:p xmlns:wp14="http://schemas.microsoft.com/office/word/2010/wordml" w14:paraId="2BA226A1" wp14:textId="77777777">
      <w:pPr>
        <w:spacing w:before="2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tbl>
      <w:tblPr>
        <w:tblW w:w="0" w:type="dxa"/>
      </w:tblPr>
      <w:tblGrid>
        <w:gridCol w:w="2400"/>
        <w:gridCol w:w="6960"/>
      </w:tblGrid>
      <w:tr xmlns:wp14="http://schemas.microsoft.com/office/word/2010/wordml" w:rsidTr="255D945D" w14:paraId="18AD73BD" wp14:textId="77777777">
        <w:trPr>
          <w:trHeight w:val="1" w:hRule="atLeast"/>
          <w:jc w:val="left"/>
        </w:trPr>
        <w:tc>
          <w:tcPr>
            <w:tcW w:w="24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auto" w:fill="1B3A6B"/>
            <w:tcMar>
              <w:left w:w="140" w:type="dxa"/>
              <w:right w:w="140" w:type="dxa"/>
            </w:tcMar>
            <w:vAlign w:val="center"/>
          </w:tcPr>
          <w:p w14:paraId="2E539384" wp14:textId="77777777"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16"/>
                <w:shd w:val="clear" w:fill="auto"/>
              </w:rPr>
              <w:t xml:space="preserve">CHART TYPE</w:t>
            </w:r>
          </w:p>
          <w:p w14:paraId="5DFD0647" wp14:textId="77777777"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2"/>
                <w:shd w:val="clear" w:fill="auto"/>
              </w:rPr>
              <w:t xml:space="preserve">Dropdown Slicer</w:t>
            </w:r>
          </w:p>
          <w:p w14:paraId="17945B67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2"/>
                <w:shd w:val="clear" w:fill="auto"/>
              </w:rPr>
              <w:t xml:space="preserve">(Batsman + Bowler)</w:t>
            </w:r>
          </w:p>
        </w:tc>
        <w:tc>
          <w:tcPr>
            <w:tcW w:w="69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auto" w:fill="FFFFFF"/>
            <w:tcMar>
              <w:left w:w="140" w:type="dxa"/>
              <w:right w:w="140" w:type="dxa"/>
            </w:tcMar>
            <w:vAlign w:val="top"/>
          </w:tcPr>
          <w:p w14:paraId="10558E75" wp14:textId="77777777">
            <w:pPr>
              <w:spacing w:before="0" w:after="0" w:line="240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374151"/>
                <w:spacing w:val="0"/>
                <w:position w:val="0"/>
                <w:sz w:val="21"/>
                <w:shd w:val="clear" w:fill="auto"/>
              </w:rPr>
              <w:t xml:space="preserve">Why This Chart?</w:t>
            </w:r>
          </w:p>
          <w:p w:rsidP="255D945D" w14:paraId="2B8165C2" wp14:textId="77777777">
            <w:pPr>
              <w:spacing w:before="4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Dropdown slicers are chosen over tiles here because the player pool is too large for a tile layout (hundreds of players across 17 seasons). A searchable dropdown allows users to type a name rather than scroll, making the slicer practical at scale. Having two separate slicers (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batsman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vs. bowler) makes the selection intent explicit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—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the page answers 'how did this batter perform against this bowler?'</w:t>
            </w:r>
          </w:p>
        </w:tc>
      </w:tr>
    </w:tbl>
    <w:p xmlns:wp14="http://schemas.microsoft.com/office/word/2010/wordml" w14:paraId="17AD93B2" wp14:textId="77777777">
      <w:pPr>
        <w:spacing w:before="2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:rsidP="255D945D" w14:paraId="7C20DE3B" wp14:textId="77777777">
      <w:pPr>
        <w:spacing w:before="260" w:after="12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</w:pP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6.2  Performance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 Summary Table</w:t>
      </w:r>
    </w:p>
    <w:p xmlns:wp14="http://schemas.microsoft.com/office/word/2010/wordml" w14:paraId="0DE4B5B7" wp14:textId="77777777">
      <w:pPr>
        <w:spacing w:before="2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tbl>
      <w:tblPr/>
      <w:tblGrid>
        <w:gridCol w:w="2400"/>
        <w:gridCol w:w="6960"/>
      </w:tblGrid>
      <w:tr xmlns:wp14="http://schemas.microsoft.com/office/word/2010/wordml" w14:paraId="65C9D9FB" wp14:textId="77777777">
        <w:trPr>
          <w:trHeight w:val="1" w:hRule="atLeast"/>
          <w:jc w:val="left"/>
        </w:trPr>
        <w:tc>
          <w:tcPr>
            <w:tcW w:w="24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000000" w:fill="0d9488"/>
            <w:tcMar>
              <w:left w:w="140" w:type="dxa"/>
              <w:right w:w="140" w:type="dxa"/>
            </w:tcMar>
            <w:vAlign w:val="center"/>
          </w:tcPr>
          <w:p w14:paraId="2DFBEE5F" wp14:textId="77777777"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16"/>
                <w:shd w:val="clear" w:fill="auto"/>
              </w:rPr>
              <w:t xml:space="preserve">CHART TYPE</w:t>
            </w:r>
          </w:p>
          <w:p w14:paraId="40DBE698" wp14:textId="77777777"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2"/>
                <w:shd w:val="clear" w:fill="auto"/>
              </w:rPr>
              <w:t xml:space="preserve">Table Visual</w:t>
            </w:r>
          </w:p>
          <w:p w14:paraId="26B68F4B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2"/>
                <w:shd w:val="clear" w:fill="auto"/>
              </w:rPr>
              <w:t xml:space="preserve">(Multi-metric)</w:t>
            </w:r>
          </w:p>
        </w:tc>
        <w:tc>
          <w:tcPr>
            <w:tcW w:w="69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000000" w:fill="ffffff"/>
            <w:tcMar>
              <w:left w:w="140" w:type="dxa"/>
              <w:right w:w="140" w:type="dxa"/>
            </w:tcMar>
            <w:vAlign w:val="top"/>
          </w:tcPr>
          <w:p w14:paraId="2C7EC86D" wp14:textId="77777777">
            <w:pPr>
              <w:spacing w:before="0" w:after="0" w:line="240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374151"/>
                <w:spacing w:val="0"/>
                <w:position w:val="0"/>
                <w:sz w:val="21"/>
                <w:shd w:val="clear" w:fill="auto"/>
              </w:rPr>
              <w:t xml:space="preserve">Why This Chart?</w:t>
            </w:r>
          </w:p>
          <w:p w14:paraId="0E3415C0" wp14:textId="77777777">
            <w:pPr>
              <w:spacing w:before="4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hd w:val="clear" w:fill="auto"/>
              </w:rPr>
              <w:t xml:space="preserve">A multi-column table combining runs, wickets, and boundaries for the selected player-pair in a single view avoids the need for multiple KPI cards. The table format is deliberate: performance data across multiple seasons demands row-by-row comparison, and tables are the only visual type that lets users scan both horizontally (metrics) and vertically (seasons) without visual distortion.</w:t>
            </w:r>
          </w:p>
        </w:tc>
      </w:tr>
    </w:tbl>
    <w:p xmlns:wp14="http://schemas.microsoft.com/office/word/2010/wordml" w14:paraId="66204FF1" wp14:textId="77777777">
      <w:pPr>
        <w:spacing w:before="2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31F6E17D" wp14:textId="77777777">
      <w:pPr>
        <w:spacing w:before="200" w:after="80" w:line="240"/>
        <w:ind w:left="0" w:right="0" w:firstLine="0"/>
        <w:jc w:val="left"/>
        <w:rPr>
          <w:rFonts w:ascii="Arial" w:hAnsi="Arial" w:eastAsia="Arial" w:cs="Arial"/>
          <w:b/>
          <w:color w:val="374151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374151"/>
          <w:spacing w:val="0"/>
          <w:position w:val="0"/>
          <w:sz w:val="24"/>
          <w:shd w:val="clear" w:fill="auto"/>
        </w:rPr>
        <w:t xml:space="preserve">Insights</w:t>
      </w:r>
    </w:p>
    <w:tbl>
      <w:tblPr>
        <w:tblW w:w="0" w:type="dxa"/>
      </w:tblPr>
      <w:tblGrid>
        <w:gridCol w:w="1200"/>
        <w:gridCol w:w="8160"/>
      </w:tblGrid>
      <w:tr xmlns:wp14="http://schemas.microsoft.com/office/word/2010/wordml" w:rsidTr="255D945D" w14:paraId="18195147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DBEAFE"/>
            <w:tcMar>
              <w:left w:w="130" w:type="dxa"/>
              <w:right w:w="130" w:type="dxa"/>
            </w:tcMar>
            <w:vAlign w:val="center"/>
          </w:tcPr>
          <w:p w14:paraId="47B204D9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H2H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:rsidP="255D945D" w14:paraId="5BA5131D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Head-to-head filtering (same 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batsman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/bowler selected) reveals matchup dominance 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—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batters who consistently score against a specific bowler provide team selection intelligence.</w:t>
            </w:r>
          </w:p>
        </w:tc>
      </w:tr>
      <w:tr xmlns:wp14="http://schemas.microsoft.com/office/word/2010/wordml" w:rsidTr="255D945D" w14:paraId="29CB7AC2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EFF6FF"/>
            <w:tcMar>
              <w:left w:w="130" w:type="dxa"/>
              <w:right w:w="130" w:type="dxa"/>
            </w:tcMar>
            <w:vAlign w:val="center"/>
          </w:tcPr>
          <w:p w14:paraId="08EB0E86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Evolution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14:paraId="0EBB489C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Season-over-season rows show career trajectory </w:t>
            </w: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—</w:t>
            </w: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 improving runs with stable boundary % suggests a batter developing their accumulation game alongside aggression.</w:t>
            </w:r>
          </w:p>
        </w:tc>
      </w:tr>
      <w:tr xmlns:wp14="http://schemas.microsoft.com/office/word/2010/wordml" w:rsidTr="255D945D" w14:paraId="21E5C749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DBEAFE"/>
            <w:tcMar>
              <w:left w:w="130" w:type="dxa"/>
              <w:right w:w="130" w:type="dxa"/>
            </w:tcMar>
            <w:vAlign w:val="center"/>
          </w:tcPr>
          <w:p w14:paraId="4CBD700C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Bowling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14:paraId="76116803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Bowlers with low wickets but high economy against top batters can still be valuable; this table surfaces those nuanced performances that aggregate stats hide.</w:t>
            </w:r>
          </w:p>
        </w:tc>
      </w:tr>
    </w:tbl>
    <w:p xmlns:wp14="http://schemas.microsoft.com/office/word/2010/wordml" w14:paraId="2DBF0D7D" wp14:textId="77777777">
      <w:pPr>
        <w:spacing w:before="4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:rsidP="255D945D" w14:paraId="34A0E058" wp14:textId="77777777">
      <w:pPr>
        <w:spacing w:before="260" w:after="12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</w:pP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6.3  Horizontal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 Bar Charts 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—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 Top 5 Batsmen, Bowlers, Hitters</w:t>
      </w:r>
    </w:p>
    <w:p xmlns:wp14="http://schemas.microsoft.com/office/word/2010/wordml" w14:paraId="6B62F1B3" wp14:textId="77777777">
      <w:pPr>
        <w:spacing w:before="2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tbl>
      <w:tblPr>
        <w:tblW w:w="0" w:type="dxa"/>
      </w:tblPr>
      <w:tblGrid>
        <w:gridCol w:w="2400"/>
        <w:gridCol w:w="6960"/>
      </w:tblGrid>
      <w:tr xmlns:wp14="http://schemas.microsoft.com/office/word/2010/wordml" w:rsidTr="255D945D" w14:paraId="10C7A047" wp14:textId="77777777">
        <w:trPr>
          <w:trHeight w:val="1" w:hRule="atLeast"/>
          <w:jc w:val="left"/>
        </w:trPr>
        <w:tc>
          <w:tcPr>
            <w:tcW w:w="24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auto" w:fill="D97706"/>
            <w:tcMar>
              <w:left w:w="140" w:type="dxa"/>
              <w:right w:w="140" w:type="dxa"/>
            </w:tcMar>
            <w:vAlign w:val="center"/>
          </w:tcPr>
          <w:p w14:paraId="35843929" wp14:textId="77777777"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16"/>
                <w:shd w:val="clear" w:fill="auto"/>
              </w:rPr>
              <w:t xml:space="preserve">CHART TYPE</w:t>
            </w:r>
          </w:p>
          <w:p w14:paraId="281E6E00" wp14:textId="77777777"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2"/>
                <w:shd w:val="clear" w:fill="auto"/>
              </w:rPr>
              <w:t xml:space="preserve">Clustered Bar Chart</w:t>
            </w:r>
          </w:p>
          <w:p w14:paraId="31E9EF2A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2"/>
                <w:shd w:val="clear" w:fill="auto"/>
              </w:rPr>
              <w:t xml:space="preserve">(3 × Top 5 Charts)</w:t>
            </w:r>
          </w:p>
        </w:tc>
        <w:tc>
          <w:tcPr>
            <w:tcW w:w="69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auto" w:fill="FFFFFF"/>
            <w:tcMar>
              <w:left w:w="140" w:type="dxa"/>
              <w:right w:w="140" w:type="dxa"/>
            </w:tcMar>
            <w:vAlign w:val="top"/>
          </w:tcPr>
          <w:p w14:paraId="114AB268" wp14:textId="77777777">
            <w:pPr>
              <w:spacing w:before="0" w:after="0" w:line="240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374151"/>
                <w:spacing w:val="0"/>
                <w:position w:val="0"/>
                <w:sz w:val="21"/>
                <w:shd w:val="clear" w:fill="auto"/>
              </w:rPr>
              <w:t xml:space="preserve">Why This Chart?</w:t>
            </w:r>
          </w:p>
          <w:p w:rsidP="255D945D" w14:paraId="53FB7E4A" wp14:textId="77777777">
            <w:pPr>
              <w:spacing w:before="4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Three parallel horizontal bar charts on the player profile page allow simultaneous comparison across three performance dimensions: run-scoring, wicket-taking, and boundary-hitting. The horizontal bar format is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maintained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for consistency with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Team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Profile page, reinforcing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a visual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grammar the user has already learned. Keeping them on the same page enables visual triangulation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—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a player appearing in all three would be extraordinarily rare.</w:t>
            </w:r>
          </w:p>
        </w:tc>
      </w:tr>
    </w:tbl>
    <w:p xmlns:wp14="http://schemas.microsoft.com/office/word/2010/wordml" w14:paraId="02F2C34E" wp14:textId="77777777">
      <w:pPr>
        <w:spacing w:before="2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4E182B18" wp14:textId="77777777">
      <w:pPr>
        <w:spacing w:before="200" w:after="80" w:line="240"/>
        <w:ind w:left="0" w:right="0" w:firstLine="0"/>
        <w:jc w:val="left"/>
        <w:rPr>
          <w:rFonts w:ascii="Arial" w:hAnsi="Arial" w:eastAsia="Arial" w:cs="Arial"/>
          <w:b/>
          <w:color w:val="374151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374151"/>
          <w:spacing w:val="0"/>
          <w:position w:val="0"/>
          <w:sz w:val="24"/>
          <w:shd w:val="clear" w:fill="auto"/>
        </w:rPr>
        <w:t xml:space="preserve">Insights</w:t>
      </w:r>
    </w:p>
    <w:tbl>
      <w:tblPr>
        <w:tblW w:w="0" w:type="dxa"/>
      </w:tblPr>
      <w:tblGrid>
        <w:gridCol w:w="1200"/>
        <w:gridCol w:w="8160"/>
      </w:tblGrid>
      <w:tr xmlns:wp14="http://schemas.microsoft.com/office/word/2010/wordml" w:rsidTr="255D945D" w14:paraId="01785FB0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DBEAFE"/>
            <w:tcMar>
              <w:left w:w="130" w:type="dxa"/>
              <w:right w:w="130" w:type="dxa"/>
            </w:tcMar>
            <w:vAlign w:val="center"/>
          </w:tcPr>
          <w:p w14:paraId="0774DA52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Hitters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:rsidP="255D945D" w14:paraId="5D36BC45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The Top 5 Hitters chart (boundary count) differs meaningfully from Top 5 Run Scorers 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—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high boundary counts with moderate total runs 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indicate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a high-risk, high-reward playing style.</w:t>
            </w:r>
          </w:p>
        </w:tc>
      </w:tr>
      <w:tr xmlns:wp14="http://schemas.microsoft.com/office/word/2010/wordml" w:rsidTr="255D945D" w14:paraId="5C75702F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EFF6FF"/>
            <w:tcMar>
              <w:left w:w="130" w:type="dxa"/>
              <w:right w:w="130" w:type="dxa"/>
            </w:tcMar>
            <w:vAlign w:val="center"/>
          </w:tcPr>
          <w:p w14:paraId="3152DEE9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Economy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14:paraId="4BD3F632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Top wicket takers with the slicer filtered to powerplay overs (via Over slicer) reveal which bowlers are most dangerous with the new ball </w:t>
            </w: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—</w:t>
            </w: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 a key selection signal.</w:t>
            </w:r>
          </w:p>
        </w:tc>
      </w:tr>
      <w:tr xmlns:wp14="http://schemas.microsoft.com/office/word/2010/wordml" w:rsidTr="255D945D" w14:paraId="16CE9496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DBEAFE"/>
            <w:tcMar>
              <w:left w:w="130" w:type="dxa"/>
              <w:right w:w="130" w:type="dxa"/>
            </w:tcMar>
            <w:vAlign w:val="center"/>
          </w:tcPr>
          <w:p w14:paraId="6CB502B8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Seasons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14:paraId="1A4C5823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When the Years slicer narrows to a single season, the charts effectively show who was the tournament's best in each category </w:t>
            </w: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—</w:t>
            </w: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 a natural highlight reel.</w:t>
            </w:r>
          </w:p>
        </w:tc>
      </w:tr>
    </w:tbl>
    <w:p xmlns:wp14="http://schemas.microsoft.com/office/word/2010/wordml" w14:paraId="680A4E5D" wp14:textId="77777777">
      <w:pPr>
        <w:spacing w:before="60" w:after="4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12F40E89" wp14:textId="77777777">
      <w:pPr>
        <w:spacing w:before="0" w:after="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</w:t>
      </w:r>
    </w:p>
    <w:p xmlns:wp14="http://schemas.microsoft.com/office/word/2010/wordml" w14:paraId="19219836" wp14:textId="77777777">
      <w:pPr>
        <w:spacing w:before="0" w:after="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tbl>
      <w:tblPr/>
      <w:tblGrid>
        <w:gridCol w:w="500"/>
        <w:gridCol w:w="8860"/>
      </w:tblGrid>
      <w:tr xmlns:wp14="http://schemas.microsoft.com/office/word/2010/wordml" w14:paraId="6F7E7264" wp14:textId="77777777">
        <w:trPr>
          <w:trHeight w:val="1" w:hRule="atLeast"/>
          <w:jc w:val="left"/>
        </w:trPr>
        <w:tc>
          <w:tcPr>
            <w:tcW w:w="5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000000" w:fill="1b3a6b"/>
            <w:tcMar>
              <w:left w:w="120" w:type="dxa"/>
              <w:right w:w="120" w:type="dxa"/>
            </w:tcMar>
            <w:vAlign w:val="center"/>
          </w:tcPr>
          <w:p w14:paraId="75697EEC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32"/>
                <w:shd w:val="clear" w:fill="auto"/>
              </w:rPr>
              <w:t xml:space="preserve">7</w:t>
            </w:r>
          </w:p>
        </w:tc>
        <w:tc>
          <w:tcPr>
            <w:tcW w:w="88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000000" w:fill="dbeafe"/>
            <w:tcMar>
              <w:left w:w="120" w:type="dxa"/>
              <w:right w:w="120" w:type="dxa"/>
            </w:tcMar>
            <w:vAlign w:val="top"/>
          </w:tcPr>
          <w:p w14:paraId="64FC0EB5" wp14:textId="77777777">
            <w:pPr>
              <w:spacing w:before="0" w:after="0" w:line="240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28"/>
                <w:shd w:val="clear" w:fill="auto"/>
              </w:rPr>
              <w:t xml:space="preserve">Page: Tooltip</w:t>
            </w:r>
          </w:p>
          <w:p w14:paraId="4E5B13C3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2563EB"/>
                <w:spacing w:val="0"/>
                <w:position w:val="0"/>
                <w:sz w:val="20"/>
                <w:shd w:val="clear" w:fill="auto"/>
              </w:rPr>
              <w:t xml:space="preserve">Hidden drill-through page with advanced visuals</w:t>
            </w:r>
          </w:p>
        </w:tc>
      </w:tr>
    </w:tbl>
    <w:p xmlns:wp14="http://schemas.microsoft.com/office/word/2010/wordml" w14:paraId="296FEF7D" wp14:textId="77777777">
      <w:pPr>
        <w:spacing w:before="60" w:after="4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:rsidP="255D945D" w14:paraId="3700E5C7" wp14:textId="77777777">
      <w:pPr>
        <w:spacing w:before="60" w:after="80" w:line="240" w:lineRule="auto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zCs w:val="22"/>
          <w:shd w:val="clear" w:fill="auto"/>
          <w:lang w:val="en-US"/>
        </w:rPr>
      </w:pPr>
      <w:r w:rsidRPr="255D945D" w:rsidR="255D945D">
        <w:rPr>
          <w:rFonts w:ascii="Arial" w:hAnsi="Arial" w:eastAsia="Arial" w:cs="Arial"/>
          <w:color w:val="374151"/>
          <w:spacing w:val="0"/>
          <w:position w:val="0"/>
          <w:sz w:val="22"/>
          <w:szCs w:val="22"/>
          <w:shd w:val="clear" w:fill="auto"/>
          <w:lang w:val="en-US"/>
        </w:rPr>
        <w:t xml:space="preserve">The Tooltip page is a hidden page in Power BI </w:t>
      </w:r>
      <w:r w:rsidRPr="255D945D" w:rsidR="255D945D">
        <w:rPr>
          <w:rFonts w:ascii="Arial" w:hAnsi="Arial" w:eastAsia="Arial" w:cs="Arial"/>
          <w:color w:val="374151"/>
          <w:spacing w:val="0"/>
          <w:position w:val="0"/>
          <w:sz w:val="22"/>
          <w:szCs w:val="22"/>
          <w:shd w:val="clear" w:fill="auto"/>
          <w:lang w:val="en-US"/>
        </w:rPr>
        <w:t xml:space="preserve">—</w:t>
      </w:r>
      <w:r w:rsidRPr="255D945D" w:rsidR="255D945D">
        <w:rPr>
          <w:rFonts w:ascii="Arial" w:hAnsi="Arial" w:eastAsia="Arial" w:cs="Arial"/>
          <w:color w:val="374151"/>
          <w:spacing w:val="0"/>
          <w:position w:val="0"/>
          <w:sz w:val="22"/>
          <w:szCs w:val="22"/>
          <w:shd w:val="clear" w:fill="auto"/>
          <w:lang w:val="en-US"/>
        </w:rPr>
        <w:t xml:space="preserve"> it does not appear in the standard page navigator but is </w:t>
      </w:r>
      <w:r w:rsidRPr="255D945D" w:rsidR="255D945D">
        <w:rPr>
          <w:rFonts w:ascii="Arial" w:hAnsi="Arial" w:eastAsia="Arial" w:cs="Arial"/>
          <w:color w:val="374151"/>
          <w:spacing w:val="0"/>
          <w:position w:val="0"/>
          <w:sz w:val="22"/>
          <w:szCs w:val="22"/>
          <w:shd w:val="clear" w:fill="auto"/>
          <w:lang w:val="en-US"/>
        </w:rPr>
        <w:t xml:space="preserve">rendered</w:t>
      </w:r>
      <w:r w:rsidRPr="255D945D" w:rsidR="255D945D">
        <w:rPr>
          <w:rFonts w:ascii="Arial" w:hAnsi="Arial" w:eastAsia="Arial" w:cs="Arial"/>
          <w:color w:val="374151"/>
          <w:spacing w:val="0"/>
          <w:position w:val="0"/>
          <w:sz w:val="22"/>
          <w:szCs w:val="22"/>
          <w:shd w:val="clear" w:fill="auto"/>
          <w:lang w:val="en-US"/>
        </w:rPr>
        <w:t xml:space="preserve"> as a rich tooltip when users hover over specific data points in other visuals. It hosts two visuals that provide instant contextual detail without requiring a </w:t>
      </w:r>
      <w:r w:rsidRPr="255D945D" w:rsidR="255D945D">
        <w:rPr>
          <w:rFonts w:ascii="Arial" w:hAnsi="Arial" w:eastAsia="Arial" w:cs="Arial"/>
          <w:color w:val="374151"/>
          <w:spacing w:val="0"/>
          <w:position w:val="0"/>
          <w:sz w:val="22"/>
          <w:szCs w:val="22"/>
          <w:shd w:val="clear" w:fill="auto"/>
          <w:lang w:val="en-US"/>
        </w:rPr>
        <w:t xml:space="preserve">page</w:t>
      </w:r>
      <w:r w:rsidRPr="255D945D" w:rsidR="255D945D">
        <w:rPr>
          <w:rFonts w:ascii="Arial" w:hAnsi="Arial" w:eastAsia="Arial" w:cs="Arial"/>
          <w:color w:val="374151"/>
          <w:spacing w:val="0"/>
          <w:position w:val="0"/>
          <w:sz w:val="22"/>
          <w:szCs w:val="22"/>
          <w:shd w:val="clear" w:fill="auto"/>
          <w:lang w:val="en-US"/>
        </w:rPr>
        <w:t xml:space="preserve"> navigation.</w:t>
      </w:r>
    </w:p>
    <w:p xmlns:wp14="http://schemas.microsoft.com/office/word/2010/wordml" w14:paraId="7194DBDC" wp14:textId="77777777">
      <w:pPr>
        <w:spacing w:before="4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:rsidP="255D945D" w14:paraId="553B0418" wp14:textId="77777777">
      <w:pPr>
        <w:spacing w:before="260" w:after="12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</w:pP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7.1  Scatter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 Chart 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—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 Total Boundaries per Season</w:t>
      </w:r>
    </w:p>
    <w:p xmlns:wp14="http://schemas.microsoft.com/office/word/2010/wordml" w14:paraId="769D0D3C" wp14:textId="77777777">
      <w:pPr>
        <w:spacing w:before="2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tbl>
      <w:tblPr>
        <w:tblW w:w="0" w:type="dxa"/>
      </w:tblPr>
      <w:tblGrid>
        <w:gridCol w:w="2400"/>
        <w:gridCol w:w="6960"/>
      </w:tblGrid>
      <w:tr xmlns:wp14="http://schemas.microsoft.com/office/word/2010/wordml" w:rsidTr="255D945D" w14:paraId="13641F9C" wp14:textId="77777777">
        <w:trPr>
          <w:trHeight w:val="1" w:hRule="atLeast"/>
          <w:jc w:val="left"/>
        </w:trPr>
        <w:tc>
          <w:tcPr>
            <w:tcW w:w="24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auto" w:fill="7C3AED"/>
            <w:tcMar>
              <w:left w:w="140" w:type="dxa"/>
              <w:right w:w="140" w:type="dxa"/>
            </w:tcMar>
            <w:vAlign w:val="center"/>
          </w:tcPr>
          <w:p w14:paraId="795A7137" wp14:textId="77777777"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16"/>
                <w:shd w:val="clear" w:fill="auto"/>
              </w:rPr>
              <w:t xml:space="preserve">CHART TYPE</w:t>
            </w:r>
          </w:p>
          <w:p w14:paraId="699F3A7E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2"/>
                <w:shd w:val="clear" w:fill="auto"/>
              </w:rPr>
              <w:t xml:space="preserve">Scatter Chart</w:t>
            </w:r>
          </w:p>
        </w:tc>
        <w:tc>
          <w:tcPr>
            <w:tcW w:w="69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auto" w:fill="FFFFFF"/>
            <w:tcMar>
              <w:left w:w="140" w:type="dxa"/>
              <w:right w:w="140" w:type="dxa"/>
            </w:tcMar>
            <w:vAlign w:val="top"/>
          </w:tcPr>
          <w:p w14:paraId="6061F306" wp14:textId="77777777">
            <w:pPr>
              <w:spacing w:before="0" w:after="0" w:line="240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374151"/>
                <w:spacing w:val="0"/>
                <w:position w:val="0"/>
                <w:sz w:val="21"/>
                <w:shd w:val="clear" w:fill="auto"/>
              </w:rPr>
              <w:t xml:space="preserve">Why This Chart?</w:t>
            </w:r>
          </w:p>
          <w:p w:rsidP="255D945D" w14:paraId="55B1D10E" wp14:textId="77777777">
            <w:pPr>
              <w:spacing w:before="4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A Scatter Chart is chosen here to show the relationship between two continuous variables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—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season (X) and total boundary count (Y). Scatter plots excel at revealing correlation, clustering, and outliers that a line chart would smooth over. Each data point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representing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a season-level aggregate allows the user to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identify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seasons with anomalously high or low boundary counts in context of the overall distribution.</w:t>
            </w:r>
          </w:p>
        </w:tc>
      </w:tr>
    </w:tbl>
    <w:p xmlns:wp14="http://schemas.microsoft.com/office/word/2010/wordml" w14:paraId="54CD245A" wp14:textId="77777777">
      <w:pPr>
        <w:spacing w:before="2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0C28D7E3" wp14:textId="77777777">
      <w:pPr>
        <w:spacing w:before="200" w:after="80" w:line="240"/>
        <w:ind w:left="0" w:right="0" w:firstLine="0"/>
        <w:jc w:val="left"/>
        <w:rPr>
          <w:rFonts w:ascii="Arial" w:hAnsi="Arial" w:eastAsia="Arial" w:cs="Arial"/>
          <w:b/>
          <w:color w:val="374151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374151"/>
          <w:spacing w:val="0"/>
          <w:position w:val="0"/>
          <w:sz w:val="24"/>
          <w:shd w:val="clear" w:fill="auto"/>
        </w:rPr>
        <w:t xml:space="preserve">Insights</w:t>
      </w:r>
    </w:p>
    <w:tbl>
      <w:tblPr>
        <w:tblW w:w="0" w:type="dxa"/>
      </w:tblPr>
      <w:tblGrid>
        <w:gridCol w:w="1200"/>
        <w:gridCol w:w="8160"/>
      </w:tblGrid>
      <w:tr xmlns:wp14="http://schemas.microsoft.com/office/word/2010/wordml" w:rsidTr="255D945D" w14:paraId="0E642E4F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DBEAFE"/>
            <w:tcMar>
              <w:left w:w="130" w:type="dxa"/>
              <w:right w:w="130" w:type="dxa"/>
            </w:tcMar>
            <w:vAlign w:val="center"/>
          </w:tcPr>
          <w:p w14:paraId="2B77F16C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Growth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:rsidP="255D945D" w14:paraId="22B70D63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Boundary counts show a strong positive correlation with season recency 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—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modern IPL teams 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prioritise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boundary hitting significantly more than early edition teams.</w:t>
            </w:r>
          </w:p>
        </w:tc>
      </w:tr>
      <w:tr xmlns:wp14="http://schemas.microsoft.com/office/word/2010/wordml" w:rsidTr="255D945D" w14:paraId="586CD030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EFF6FF"/>
            <w:tcMar>
              <w:left w:w="130" w:type="dxa"/>
              <w:right w:w="130" w:type="dxa"/>
            </w:tcMar>
            <w:vAlign w:val="center"/>
          </w:tcPr>
          <w:p w14:paraId="5492D005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Outliers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:rsidP="255D945D" w14:paraId="3292C96E" wp14:textId="77777777">
            <w:pPr>
              <w:spacing w:before="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Seasons with anomalously low boundaries despite high run totals 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indicate</w:t>
            </w:r>
            <w:r w:rsidRPr="255D945D" w:rsidR="255D945D"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editions where teams relied more heavily on between-wicket running and accumulation (slower, drier pitches).</w:t>
            </w:r>
          </w:p>
        </w:tc>
      </w:tr>
      <w:tr xmlns:wp14="http://schemas.microsoft.com/office/word/2010/wordml" w:rsidTr="255D945D" w14:paraId="0452AA5D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DBEAFE"/>
            <w:tcMar>
              <w:left w:w="130" w:type="dxa"/>
              <w:right w:w="130" w:type="dxa"/>
            </w:tcMar>
            <w:vAlign w:val="center"/>
          </w:tcPr>
          <w:p w14:paraId="056F48C9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Tooltip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auto" w:fill="FFFFFF"/>
            <w:tcMar>
              <w:left w:w="130" w:type="dxa"/>
              <w:right w:w="130" w:type="dxa"/>
            </w:tcMar>
            <w:vAlign w:val="top"/>
          </w:tcPr>
          <w:p w14:paraId="7C5C8246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Placed on a tooltip page, this scatter chart appears instantly when hovering over season-level data points elsewhere </w:t>
            </w: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—</w:t>
            </w: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 delivering deep context without navigation friction.</w:t>
            </w:r>
          </w:p>
        </w:tc>
      </w:tr>
    </w:tbl>
    <w:p xmlns:wp14="http://schemas.microsoft.com/office/word/2010/wordml" w14:paraId="1231BE67" wp14:textId="77777777">
      <w:pPr>
        <w:spacing w:before="4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:rsidP="255D945D" w14:paraId="23C31934" wp14:textId="77777777">
      <w:pPr>
        <w:spacing w:before="260" w:after="120" w:line="240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</w:pP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7.2  Pie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 Chart 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—</w:t>
      </w:r>
      <w:r w:rsidRPr="255D945D" w:rsidR="255D945D">
        <w:rPr>
          <w:rFonts w:ascii="Arial" w:hAnsi="Arial" w:eastAsia="Arial" w:cs="Arial"/>
          <w:b w:val="1"/>
          <w:bCs w:val="1"/>
          <w:color w:val="2563EB"/>
          <w:spacing w:val="0"/>
          <w:position w:val="0"/>
          <w:sz w:val="28"/>
          <w:szCs w:val="28"/>
          <w:shd w:val="clear" w:fill="auto"/>
          <w:lang w:val="en-US"/>
        </w:rPr>
        <w:t xml:space="preserve"> Total Runs per Season</w:t>
      </w:r>
    </w:p>
    <w:p xmlns:wp14="http://schemas.microsoft.com/office/word/2010/wordml" w14:paraId="36FEB5B0" wp14:textId="77777777">
      <w:pPr>
        <w:spacing w:before="2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tbl>
      <w:tblPr>
        <w:tblW w:w="0" w:type="dxa"/>
      </w:tblPr>
      <w:tblGrid>
        <w:gridCol w:w="2400"/>
        <w:gridCol w:w="6960"/>
      </w:tblGrid>
      <w:tr xmlns:wp14="http://schemas.microsoft.com/office/word/2010/wordml" w:rsidTr="255D945D" w14:paraId="7FDBE925" wp14:textId="77777777">
        <w:trPr>
          <w:trHeight w:val="1" w:hRule="atLeast"/>
          <w:jc w:val="left"/>
        </w:trPr>
        <w:tc>
          <w:tcPr>
            <w:tcW w:w="24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auto" w:fill="D97706"/>
            <w:tcMar>
              <w:left w:w="140" w:type="dxa"/>
              <w:right w:w="140" w:type="dxa"/>
            </w:tcMar>
            <w:vAlign w:val="center"/>
          </w:tcPr>
          <w:p w14:paraId="491D679F" wp14:textId="77777777">
            <w:pPr>
              <w:spacing w:before="0" w:after="0" w:line="240"/>
              <w:ind w:left="0" w:right="0" w:firstLine="0"/>
              <w:jc w:val="center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16"/>
                <w:shd w:val="clear" w:fill="auto"/>
              </w:rPr>
              <w:t xml:space="preserve">CHART TYPE</w:t>
            </w:r>
          </w:p>
          <w:p w14:paraId="37E7D993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2"/>
                <w:shd w:val="clear" w:fill="auto"/>
              </w:rPr>
              <w:t xml:space="preserve">Pie Chart</w:t>
            </w:r>
          </w:p>
        </w:tc>
        <w:tc>
          <w:tcPr>
            <w:tcW w:w="69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auto" w:fill="FFFFFF"/>
            <w:tcMar>
              <w:left w:w="140" w:type="dxa"/>
              <w:right w:w="140" w:type="dxa"/>
            </w:tcMar>
            <w:vAlign w:val="top"/>
          </w:tcPr>
          <w:p w14:paraId="3E1C4BDA" wp14:textId="77777777">
            <w:pPr>
              <w:spacing w:before="0" w:after="0" w:line="240"/>
              <w:ind w:left="0" w:right="0" w:firstLine="0"/>
              <w:jc w:val="left"/>
              <w:rPr>
                <w:rFonts w:ascii="Arial" w:hAnsi="Arial" w:eastAsia="Arial" w:cs="Arial"/>
                <w:color w:val="auto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374151"/>
                <w:spacing w:val="0"/>
                <w:position w:val="0"/>
                <w:sz w:val="21"/>
                <w:shd w:val="clear" w:fill="auto"/>
              </w:rPr>
              <w:t xml:space="preserve">Why This Chart?</w:t>
            </w:r>
          </w:p>
          <w:p w:rsidP="255D945D" w14:paraId="7DE817DC" wp14:textId="77777777">
            <w:pPr>
              <w:spacing w:before="40" w:after="0" w:line="240" w:lineRule="auto"/>
              <w:ind w:left="0" w:right="0" w:firstLine="0"/>
              <w:jc w:val="left"/>
              <w:rPr>
                <w:spacing w:val="0"/>
                <w:position w:val="0"/>
                <w:shd w:val="clear" w:fill="auto"/>
                <w:lang w:val="en-US"/>
              </w:rPr>
            </w:pP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A Pie Chart is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appropriate here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because the use case is specifically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proportional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—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'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what share of total tournament runs came from this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season?'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Pie charts communicate part-to-whole relationships effectively when the number of slices is small (8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–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17 seasons). As a tooltip visual, users hover over a season-level element to see how that 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season's</w:t>
            </w:r>
            <w:r w:rsidRPr="255D945D" w:rsidR="255D945D">
              <w:rPr>
                <w:rFonts w:ascii="Arial" w:hAnsi="Arial" w:eastAsia="Arial" w:cs="Arial"/>
                <w:color w:val="6B7280"/>
                <w:spacing w:val="0"/>
                <w:position w:val="0"/>
                <w:sz w:val="20"/>
                <w:szCs w:val="20"/>
                <w:shd w:val="clear" w:fill="auto"/>
                <w:lang w:val="en-US"/>
              </w:rPr>
              <w:t xml:space="preserve"> runs compare as a share of the entire historical total, a genuinely different insight from an absolute bar chart.</w:t>
            </w:r>
          </w:p>
        </w:tc>
      </w:tr>
    </w:tbl>
    <w:p xmlns:wp14="http://schemas.microsoft.com/office/word/2010/wordml" w14:paraId="30D7AA69" wp14:textId="77777777">
      <w:pPr>
        <w:spacing w:before="20" w:after="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4268D765" wp14:textId="77777777">
      <w:pPr>
        <w:spacing w:before="200" w:after="80" w:line="240"/>
        <w:ind w:left="0" w:right="0" w:firstLine="0"/>
        <w:jc w:val="left"/>
        <w:rPr>
          <w:rFonts w:ascii="Arial" w:hAnsi="Arial" w:eastAsia="Arial" w:cs="Arial"/>
          <w:b/>
          <w:color w:val="374151"/>
          <w:spacing w:val="0"/>
          <w:position w:val="0"/>
          <w:sz w:val="24"/>
          <w:shd w:val="clear" w:fill="auto"/>
        </w:rPr>
      </w:pPr>
      <w:r>
        <w:rPr>
          <w:rFonts w:ascii="Arial" w:hAnsi="Arial" w:eastAsia="Arial" w:cs="Arial"/>
          <w:b/>
          <w:color w:val="374151"/>
          <w:spacing w:val="0"/>
          <w:position w:val="0"/>
          <w:sz w:val="24"/>
          <w:shd w:val="clear" w:fill="auto"/>
        </w:rPr>
        <w:t xml:space="preserve">Insights</w:t>
      </w:r>
    </w:p>
    <w:tbl>
      <w:tblPr/>
      <w:tblGrid>
        <w:gridCol w:w="1200"/>
        <w:gridCol w:w="8160"/>
      </w:tblGrid>
      <w:tr xmlns:wp14="http://schemas.microsoft.com/office/word/2010/wordml" w14:paraId="0A37273C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000000" w:fill="dbeafe"/>
            <w:tcMar>
              <w:left w:w="130" w:type="dxa"/>
              <w:right w:w="130" w:type="dxa"/>
            </w:tcMar>
            <w:vAlign w:val="center"/>
          </w:tcPr>
          <w:p w14:paraId="24D1AD8D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Share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000000" w:fill="ffffff"/>
            <w:tcMar>
              <w:left w:w="130" w:type="dxa"/>
              <w:right w:w="130" w:type="dxa"/>
            </w:tcMar>
            <w:vAlign w:val="top"/>
          </w:tcPr>
          <w:p w14:paraId="742B82A2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Recent seasons (2019</w:t>
            </w: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–</w:t>
            </w: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2024) contribute a disproportionately large share of total runs, reflecting both expansion of the league (more teams, more matches) and higher scoring rates.</w:t>
            </w:r>
          </w:p>
        </w:tc>
      </w:tr>
      <w:tr xmlns:wp14="http://schemas.microsoft.com/office/word/2010/wordml" w14:paraId="3ED62520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000000" w:fill="eff6ff"/>
            <w:tcMar>
              <w:left w:w="130" w:type="dxa"/>
              <w:right w:w="130" w:type="dxa"/>
            </w:tcMar>
            <w:vAlign w:val="center"/>
          </w:tcPr>
          <w:p w14:paraId="01259001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Balance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000000" w:fill="ffffff"/>
            <w:tcMar>
              <w:left w:w="130" w:type="dxa"/>
              <w:right w:w="130" w:type="dxa"/>
            </w:tcMar>
            <w:vAlign w:val="top"/>
          </w:tcPr>
          <w:p w14:paraId="25B21245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Early seasons (2008</w:t>
            </w: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–</w:t>
            </w: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2010) show smaller slices </w:t>
            </w: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—</w:t>
            </w: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 consistent with the fact that DRS, T20 batting techniques, and franchise academies were still maturing.</w:t>
            </w:r>
          </w:p>
        </w:tc>
      </w:tr>
      <w:tr xmlns:wp14="http://schemas.microsoft.com/office/word/2010/wordml" w14:paraId="411E5EB3" wp14:textId="77777777">
        <w:trPr>
          <w:trHeight w:val="1" w:hRule="atLeast"/>
          <w:jc w:val="left"/>
        </w:trPr>
        <w:tc>
          <w:tcPr>
            <w:tcW w:w="120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000000" w:fill="dbeafe"/>
            <w:tcMar>
              <w:left w:w="130" w:type="dxa"/>
              <w:right w:w="130" w:type="dxa"/>
            </w:tcMar>
            <w:vAlign w:val="center"/>
          </w:tcPr>
          <w:p w14:paraId="69A9204E" wp14:textId="77777777">
            <w:pPr>
              <w:spacing w:before="0" w:after="0" w:line="240"/>
              <w:ind w:left="0" w:right="0" w:firstLine="0"/>
              <w:jc w:val="center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b/>
                <w:color w:val="1B3A6B"/>
                <w:spacing w:val="0"/>
                <w:position w:val="0"/>
                <w:sz w:val="18"/>
                <w:shd w:val="clear" w:fill="auto"/>
              </w:rPr>
              <w:t xml:space="preserve">Use</w:t>
            </w:r>
          </w:p>
        </w:tc>
        <w:tc>
          <w:tcPr>
            <w:tcW w:w="8160" w:type="dxa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val="clear" w:color="000000" w:fill="ffffff"/>
            <w:tcMar>
              <w:left w:w="130" w:type="dxa"/>
              <w:right w:w="130" w:type="dxa"/>
            </w:tcMar>
            <w:vAlign w:val="top"/>
          </w:tcPr>
          <w:p w14:paraId="6498DE3D" wp14:textId="77777777">
            <w:pPr>
              <w:spacing w:before="0" w:after="0" w:line="240"/>
              <w:ind w:left="0" w:right="0" w:firstLine="0"/>
              <w:jc w:val="left"/>
              <w:rPr>
                <w:spacing w:val="0"/>
                <w:position w:val="0"/>
                <w:shd w:val="clear" w:fill="auto"/>
              </w:rPr>
            </w:pPr>
            <w:r>
              <w:rPr>
                <w:rFonts w:ascii="Arial" w:hAnsi="Arial" w:eastAsia="Arial" w:cs="Arial"/>
                <w:color w:val="374151"/>
                <w:spacing w:val="0"/>
                <w:position w:val="0"/>
                <w:sz w:val="20"/>
                <w:shd w:val="clear" w:fill="auto"/>
              </w:rPr>
              <w:t xml:space="preserve">The pie chart as a tooltip is justified specifically here because users already know the selected season; the tooltip adds the 'relative to everything else' framing they need.</w:t>
            </w:r>
          </w:p>
        </w:tc>
      </w:tr>
    </w:tbl>
    <w:p xmlns:wp14="http://schemas.microsoft.com/office/word/2010/wordml" w14:paraId="7196D064" wp14:textId="77777777">
      <w:pPr>
        <w:spacing w:before="120" w:after="12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608DEACE" wp14:textId="77777777">
      <w:pPr>
        <w:spacing w:before="0" w:after="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  <w:t xml:space="preserve"> </w:t>
      </w:r>
    </w:p>
    <w:p xmlns:wp14="http://schemas.microsoft.com/office/word/2010/wordml" w14:paraId="34FF1C98" wp14:textId="77777777">
      <w:pPr>
        <w:spacing w:before="0" w:after="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tbl>
      <w:tblPr>
        <w:tblW w:w="0" w:type="dxa"/>
      </w:tblPr>
      <w:tblGrid>
        <w:gridCol w:w="500"/>
        <w:gridCol w:w="8860"/>
      </w:tblGrid>
      <w:tr xmlns:wp14="http://schemas.microsoft.com/office/word/2010/wordml" w:rsidTr="255D945D" w14:paraId="3A225F85" wp14:textId="77777777">
        <w:trPr>
          <w:trHeight w:val="773"/>
          <w:jc w:val="left"/>
        </w:trPr>
        <w:tc>
          <w:tcPr>
            <w:tcW w:w="50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auto" w:fill="1B3A6B"/>
            <w:tcMar>
              <w:left w:w="120" w:type="dxa"/>
              <w:right w:w="120" w:type="dxa"/>
            </w:tcMar>
            <w:vAlign w:val="center"/>
          </w:tcPr>
          <w:p w:rsidP="255D945D" w14:paraId="44B0A208" wp14:textId="77777777">
            <w:pPr>
              <w:spacing w:before="0" w:after="0" w:line="240" w:lineRule="auto"/>
              <w:ind w:left="0" w:right="0" w:firstLine="0"/>
              <w:jc w:val="center"/>
              <w:rPr>
                <w:b w:val="1"/>
                <w:bCs w:val="1"/>
                <w:spacing w:val="0"/>
                <w:position w:val="0"/>
                <w:shd w:val="clear" w:fill="auto"/>
              </w:rPr>
            </w:pPr>
            <w:r w:rsidRPr="255D945D" w:rsidR="255D945D">
              <w:rPr>
                <w:rFonts w:ascii="Arial" w:hAnsi="Arial" w:eastAsia="Arial" w:cs="Arial"/>
                <w:b w:val="1"/>
                <w:bCs w:val="1"/>
                <w:color w:val="FFFFFF"/>
                <w:spacing w:val="0"/>
                <w:position w:val="0"/>
                <w:sz w:val="32"/>
                <w:szCs w:val="32"/>
                <w:shd w:val="clear" w:fill="auto"/>
              </w:rPr>
              <w:t xml:space="preserve">8</w:t>
            </w:r>
          </w:p>
        </w:tc>
        <w:tc>
          <w:tcPr>
            <w:tcW w:w="886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val="clear" w:color="auto" w:fill="DBEAFE"/>
            <w:tcMar>
              <w:left w:w="120" w:type="dxa"/>
              <w:right w:w="120" w:type="dxa"/>
            </w:tcMar>
            <w:vAlign w:val="top"/>
          </w:tcPr>
          <w:p w:rsidP="255D945D" w14:paraId="3A0EF4FA" wp14:textId="77777777">
            <w:pPr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1"/>
                <w:bCs w:val="1"/>
                <w:color w:val="auto"/>
                <w:spacing w:val="0"/>
                <w:position w:val="0"/>
                <w:sz w:val="22"/>
                <w:szCs w:val="22"/>
                <w:shd w:val="clear" w:fill="auto"/>
              </w:rPr>
            </w:pPr>
            <w:r w:rsidRPr="255D945D" w:rsidR="255D945D">
              <w:rPr>
                <w:rFonts w:ascii="Arial" w:hAnsi="Arial" w:eastAsia="Arial" w:cs="Arial"/>
                <w:b w:val="1"/>
                <w:bCs w:val="1"/>
                <w:color w:val="1B3A6B"/>
                <w:spacing w:val="0"/>
                <w:position w:val="0"/>
                <w:sz w:val="28"/>
                <w:szCs w:val="28"/>
                <w:shd w:val="clear" w:fill="auto"/>
              </w:rPr>
              <w:t xml:space="preserve">Key Insights Summary</w:t>
            </w:r>
          </w:p>
          <w:p w:rsidP="255D945D" w14:paraId="74814544" wp14:textId="77777777">
            <w:pPr>
              <w:spacing w:before="0" w:after="0" w:line="240" w:lineRule="auto"/>
              <w:ind w:left="0" w:right="0" w:firstLine="0"/>
              <w:jc w:val="left"/>
              <w:rPr>
                <w:b w:val="1"/>
                <w:bCs w:val="1"/>
                <w:spacing w:val="0"/>
                <w:position w:val="0"/>
                <w:shd w:val="clear" w:fill="auto"/>
              </w:rPr>
            </w:pPr>
            <w:r w:rsidRPr="255D945D" w:rsidR="255D945D">
              <w:rPr>
                <w:rFonts w:ascii="Arial" w:hAnsi="Arial" w:eastAsia="Arial" w:cs="Arial"/>
                <w:b w:val="1"/>
                <w:bCs w:val="1"/>
                <w:color w:val="2563EB"/>
                <w:spacing w:val="0"/>
                <w:position w:val="0"/>
                <w:sz w:val="20"/>
                <w:szCs w:val="20"/>
                <w:shd w:val="clear" w:fill="auto"/>
              </w:rPr>
              <w:t xml:space="preserve">Top findings across the entire dashboard</w:t>
            </w:r>
          </w:p>
        </w:tc>
      </w:tr>
    </w:tbl>
    <w:p w:rsidR="255D945D" w:rsidP="255D945D" w:rsidRDefault="255D945D" w14:paraId="63E4535F" w14:textId="34D4040E">
      <w:pPr>
        <w:pStyle w:val="ListParagraph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rFonts w:ascii="Arial" w:hAnsi="Arial" w:eastAsia="Arial" w:cs="Arial"/>
          <w:color w:val="374151"/>
          <w:sz w:val="22"/>
          <w:szCs w:val="22"/>
          <w:lang w:val="en-US"/>
        </w:rPr>
      </w:pPr>
    </w:p>
    <w:p xmlns:wp14="http://schemas.microsoft.com/office/word/2010/wordml" w:rsidP="255D945D" w14:paraId="6ECFDADB" wp14:textId="2E463488">
      <w:pPr>
        <w:pStyle w:val="ListParagraph"/>
        <w:numPr>
          <w:ilvl w:val="0"/>
          <w:numId w:val="236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eastAsia="Arial" w:cs="Arial"/>
          <w:color w:val="374151"/>
          <w:sz w:val="22"/>
          <w:szCs w:val="22"/>
          <w:lang w:val="en-US"/>
        </w:rPr>
      </w:pPr>
      <w:r w:rsidRPr="255D945D" w:rsidR="6F7D4B04">
        <w:rPr>
          <w:rFonts w:ascii="Arial" w:hAnsi="Arial" w:eastAsia="Arial" w:cs="Arial"/>
          <w:b w:val="1"/>
          <w:bCs w:val="1"/>
          <w:color w:val="374151"/>
          <w:sz w:val="22"/>
          <w:szCs w:val="22"/>
          <w:lang w:val="en-US"/>
        </w:rPr>
        <w:t xml:space="preserve">League Evolution:</w:t>
      </w:r>
      <w:r w:rsidRPr="255D945D" w:rsidR="411B683A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</w:t>
      </w:r>
      <w:r w:rsidRPr="255D945D" w:rsidR="255D945D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A</w:t>
      </w:r>
      <w:r w:rsidRPr="255D945D" w:rsidR="255D945D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verage runs per inning have increased by ~15</w:t>
      </w:r>
      <w:r w:rsidRPr="255D945D" w:rsidR="255D945D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–20 runs from 2008 to 2024, reflecting the maturation of T20 batting techniques and increased franchise investment in specialist hitters.</w:t>
      </w:r>
    </w:p>
    <w:p w:rsidR="255D945D" w:rsidP="255D945D" w:rsidRDefault="255D945D" w14:paraId="2CD0A3D8" w14:textId="6C3F3E9D">
      <w:pPr>
        <w:pStyle w:val="ListParagraph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rFonts w:ascii="Arial" w:hAnsi="Arial" w:eastAsia="Arial" w:cs="Arial"/>
          <w:color w:val="374151"/>
          <w:sz w:val="22"/>
          <w:szCs w:val="22"/>
          <w:lang w:val="en-US"/>
        </w:rPr>
      </w:pPr>
    </w:p>
    <w:p xmlns:wp14="http://schemas.microsoft.com/office/word/2010/wordml" w:rsidP="255D945D" w14:paraId="4EE9A69D" wp14:textId="65DA32C6">
      <w:pPr>
        <w:pStyle w:val="ListParagraph"/>
        <w:numPr>
          <w:ilvl w:val="0"/>
          <w:numId w:val="236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eastAsia="Arial" w:cs="Arial"/>
          <w:color w:val="374151"/>
          <w:sz w:val="22"/>
          <w:szCs w:val="22"/>
          <w:lang w:val="en-US"/>
        </w:rPr>
      </w:pPr>
      <w:r w:rsidRPr="255D945D" w:rsidR="255D945D">
        <w:rPr>
          <w:rFonts w:ascii="Arial" w:hAnsi="Arial" w:eastAsia="Arial" w:cs="Arial"/>
          <w:b w:val="1"/>
          <w:bCs w:val="1"/>
          <w:color w:val="374151"/>
          <w:sz w:val="22"/>
          <w:szCs w:val="22"/>
          <w:lang w:val="en-US"/>
        </w:rPr>
        <w:t xml:space="preserve">Playoff Consistency:</w:t>
      </w:r>
      <w:r w:rsidRPr="255D945D" w:rsidR="53A9E6E1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</w:t>
      </w:r>
      <w:r w:rsidRPr="255D945D" w:rsidR="255D945D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Mumbai Indians and Chennai Super Kings dominate the qualifying teams table, appearing in 12+ of 17 seasons, </w:t>
      </w:r>
      <w:r w:rsidRPr="255D945D" w:rsidR="255D945D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demonstrating</w:t>
      </w:r>
      <w:r w:rsidRPr="255D945D" w:rsidR="255D945D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consistent squad management and long-term team strategy success.</w:t>
      </w:r>
    </w:p>
    <w:p w:rsidR="255D945D" w:rsidP="255D945D" w:rsidRDefault="255D945D" w14:paraId="1B42CF5F" w14:textId="6B64B448">
      <w:pPr>
        <w:pStyle w:val="ListParagraph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rFonts w:ascii="Arial" w:hAnsi="Arial" w:eastAsia="Arial" w:cs="Arial"/>
          <w:color w:val="374151"/>
          <w:sz w:val="22"/>
          <w:szCs w:val="22"/>
          <w:lang w:val="en-US"/>
        </w:rPr>
      </w:pPr>
    </w:p>
    <w:p xmlns:wp14="http://schemas.microsoft.com/office/word/2010/wordml" w:rsidP="255D945D" w14:paraId="3CE0D27D" wp14:textId="0BA3C88C">
      <w:pPr>
        <w:pStyle w:val="ListParagraph"/>
        <w:numPr>
          <w:ilvl w:val="0"/>
          <w:numId w:val="236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eastAsia="Arial" w:cs="Arial"/>
          <w:color w:val="374151"/>
          <w:sz w:val="22"/>
          <w:szCs w:val="22"/>
          <w:lang w:val="en-US"/>
        </w:rPr>
      </w:pPr>
      <w:r w:rsidRPr="255D945D" w:rsidR="681663A2">
        <w:rPr>
          <w:rFonts w:ascii="Arial" w:hAnsi="Arial" w:eastAsia="Arial" w:cs="Arial"/>
          <w:b w:val="1"/>
          <w:bCs w:val="1"/>
          <w:color w:val="374151"/>
          <w:sz w:val="22"/>
          <w:szCs w:val="22"/>
          <w:lang w:val="en-US"/>
        </w:rPr>
        <w:t xml:space="preserve">O</w:t>
      </w:r>
      <w:r w:rsidRPr="255D945D" w:rsidR="255D945D">
        <w:rPr>
          <w:rFonts w:ascii="Arial" w:hAnsi="Arial" w:eastAsia="Arial" w:cs="Arial"/>
          <w:b w:val="1"/>
          <w:bCs w:val="1"/>
          <w:color w:val="374151"/>
          <w:sz w:val="22"/>
          <w:szCs w:val="22"/>
          <w:lang w:val="en-US"/>
        </w:rPr>
        <w:t xml:space="preserve">ver-wise Scoring Importance:</w:t>
      </w:r>
      <w:r w:rsidRPr="255D945D" w:rsidR="48766E2A">
        <w:rPr>
          <w:rFonts w:ascii="Arial" w:hAnsi="Arial" w:eastAsia="Arial" w:cs="Arial"/>
          <w:b w:val="1"/>
          <w:bCs w:val="1"/>
          <w:color w:val="374151"/>
          <w:sz w:val="22"/>
          <w:szCs w:val="22"/>
          <w:lang w:val="en-US"/>
        </w:rPr>
        <w:t xml:space="preserve"> </w:t>
      </w:r>
      <w:r w:rsidRPr="255D945D" w:rsidR="255D945D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Powerplay (1–6) and death overs (16–20) contribute 55–65% of total team runs and 60%+ of all </w:t>
      </w:r>
      <w:r w:rsidRPr="255D945D" w:rsidR="255D945D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sixes</w:t>
      </w:r>
      <w:r w:rsidRPr="255D945D" w:rsidR="255D945D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, confirming these phases as the most critical scoring periods in T20 cricket.</w:t>
      </w:r>
    </w:p>
    <w:p w:rsidR="255D945D" w:rsidP="255D945D" w:rsidRDefault="255D945D" w14:paraId="6B4A4092" w14:textId="008F4ECF">
      <w:pPr>
        <w:pStyle w:val="ListParagraph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rFonts w:ascii="Arial" w:hAnsi="Arial" w:eastAsia="Arial" w:cs="Arial"/>
          <w:color w:val="374151"/>
          <w:sz w:val="22"/>
          <w:szCs w:val="22"/>
          <w:lang w:val="en-US"/>
        </w:rPr>
      </w:pPr>
    </w:p>
    <w:p xmlns:wp14="http://schemas.microsoft.com/office/word/2010/wordml" w:rsidP="255D945D" w14:paraId="6D9CCD85" wp14:textId="5A902838">
      <w:pPr>
        <w:pStyle w:val="ListParagraph"/>
        <w:numPr>
          <w:ilvl w:val="0"/>
          <w:numId w:val="236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eastAsia="Arial" w:cs="Arial"/>
          <w:color w:val="374151"/>
          <w:sz w:val="22"/>
          <w:szCs w:val="22"/>
          <w:lang w:val="en-US"/>
        </w:rPr>
      </w:pPr>
      <w:r w:rsidRPr="255D945D" w:rsidR="255D945D">
        <w:rPr>
          <w:rFonts w:ascii="Arial" w:hAnsi="Arial" w:eastAsia="Arial" w:cs="Arial"/>
          <w:b w:val="1"/>
          <w:bCs w:val="1"/>
          <w:color w:val="374151"/>
          <w:sz w:val="22"/>
          <w:szCs w:val="22"/>
          <w:lang w:val="en-US"/>
        </w:rPr>
        <w:t xml:space="preserve">Home Advantage Impact:</w:t>
      </w:r>
      <w:r w:rsidRPr="255D945D" w:rsidR="66DB57EB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</w:t>
      </w:r>
      <w:r w:rsidRPr="255D945D" w:rsidR="255D945D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Teams win 60–75% of matches at home grounds compared to 40–50% at away venues, </w:t>
      </w:r>
      <w:r w:rsidRPr="255D945D" w:rsidR="255D945D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indicating</w:t>
      </w:r>
      <w:r w:rsidRPr="255D945D" w:rsidR="255D945D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a statistically significant advantage equivalent to ~1.5 extra wins per 7-match home leg.</w:t>
      </w:r>
    </w:p>
    <w:p w:rsidR="255D945D" w:rsidP="255D945D" w:rsidRDefault="255D945D" w14:paraId="2712FC0D" w14:textId="785F3D48">
      <w:pPr>
        <w:pStyle w:val="ListParagraph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rFonts w:ascii="Arial" w:hAnsi="Arial" w:eastAsia="Arial" w:cs="Arial"/>
          <w:color w:val="374151"/>
          <w:sz w:val="22"/>
          <w:szCs w:val="22"/>
          <w:lang w:val="en-US"/>
        </w:rPr>
      </w:pPr>
    </w:p>
    <w:p xmlns:wp14="http://schemas.microsoft.com/office/word/2010/wordml" w:rsidP="255D945D" w14:paraId="3D5872AC" wp14:textId="2279DB47">
      <w:pPr>
        <w:pStyle w:val="ListParagraph"/>
        <w:numPr>
          <w:ilvl w:val="0"/>
          <w:numId w:val="236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eastAsia="Arial" w:cs="Arial"/>
          <w:color w:val="374151"/>
          <w:sz w:val="22"/>
          <w:szCs w:val="22"/>
          <w:lang w:val="en-US"/>
        </w:rPr>
      </w:pPr>
      <w:r w:rsidRPr="255D945D" w:rsidR="255D945D">
        <w:rPr>
          <w:rFonts w:ascii="Arial" w:hAnsi="Arial" w:eastAsia="Arial" w:cs="Arial"/>
          <w:b w:val="1"/>
          <w:bCs w:val="1"/>
          <w:color w:val="374151"/>
          <w:sz w:val="22"/>
          <w:szCs w:val="22"/>
          <w:lang w:val="en-US"/>
        </w:rPr>
        <w:t xml:space="preserve">Bowling Discipline Trends:</w:t>
      </w:r>
      <w:r w:rsidRPr="255D945D" w:rsidR="7A8CE19E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</w:t>
      </w:r>
      <w:r w:rsidRPr="255D945D" w:rsidR="255D945D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No-ball rates have declined after 2019, suggesting improved monitoring and discipline, while wide ball rates </w:t>
      </w:r>
      <w:r w:rsidRPr="255D945D" w:rsidR="255D945D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remain</w:t>
      </w:r>
      <w:r w:rsidRPr="255D945D" w:rsidR="255D945D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high in death overs as bowlers intentionally vary delivery accuracy for tactical advantage.</w:t>
      </w:r>
    </w:p>
    <w:p w:rsidR="255D945D" w:rsidP="255D945D" w:rsidRDefault="255D945D" w14:paraId="1C869B9D" w14:textId="16CD8C65">
      <w:pPr>
        <w:pStyle w:val="ListParagraph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rFonts w:ascii="Arial" w:hAnsi="Arial" w:eastAsia="Arial" w:cs="Arial"/>
          <w:color w:val="374151"/>
          <w:sz w:val="22"/>
          <w:szCs w:val="22"/>
          <w:lang w:val="en-US"/>
        </w:rPr>
      </w:pPr>
    </w:p>
    <w:p xmlns:wp14="http://schemas.microsoft.com/office/word/2010/wordml" w:rsidP="255D945D" w14:paraId="1A81FA09" wp14:textId="7644A1A4">
      <w:pPr>
        <w:pStyle w:val="ListParagraph"/>
        <w:numPr>
          <w:ilvl w:val="0"/>
          <w:numId w:val="236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eastAsia="Arial" w:cs="Arial"/>
          <w:color w:val="374151"/>
          <w:sz w:val="22"/>
          <w:szCs w:val="22"/>
          <w:lang w:val="en-US"/>
        </w:rPr>
      </w:pPr>
      <w:r w:rsidRPr="255D945D" w:rsidR="255D945D">
        <w:rPr>
          <w:rFonts w:ascii="Arial" w:hAnsi="Arial" w:eastAsia="Arial" w:cs="Arial"/>
          <w:b w:val="1"/>
          <w:bCs w:val="1"/>
          <w:color w:val="374151"/>
          <w:sz w:val="22"/>
          <w:szCs w:val="22"/>
          <w:lang w:val="en-US"/>
        </w:rPr>
        <w:t xml:space="preserve">Player Performance Trajectories</w:t>
      </w:r>
      <w:r w:rsidRPr="255D945D" w:rsidR="6D78B789">
        <w:rPr>
          <w:rFonts w:ascii="Arial" w:hAnsi="Arial" w:eastAsia="Arial" w:cs="Arial"/>
          <w:b w:val="1"/>
          <w:bCs w:val="1"/>
          <w:color w:val="374151"/>
          <w:sz w:val="22"/>
          <w:szCs w:val="22"/>
          <w:lang w:val="en-US"/>
        </w:rPr>
        <w:t xml:space="preserve">:</w:t>
      </w:r>
      <w:r w:rsidRPr="255D945D" w:rsidR="16F70EFC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</w:t>
      </w:r>
      <w:r w:rsidRPr="255D945D" w:rsidR="255D945D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Most IPL batting records are achieved during players' 4th–6th seasons, </w:t>
      </w:r>
      <w:r w:rsidRPr="255D945D" w:rsidR="255D945D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indicating</w:t>
      </w:r>
      <w:r w:rsidRPr="255D945D" w:rsidR="255D945D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that peak performance typically occurs after 3+ years of experience and adaptation.</w:t>
      </w:r>
    </w:p>
    <w:p w:rsidR="255D945D" w:rsidP="255D945D" w:rsidRDefault="255D945D" w14:paraId="7D975E0E" w14:textId="33E3C548">
      <w:pPr>
        <w:pStyle w:val="ListParagraph"/>
        <w:suppressLineNumbers w:val="0"/>
        <w:bidi w:val="0"/>
        <w:spacing w:before="0" w:beforeAutospacing="off" w:after="0" w:afterAutospacing="off" w:line="240" w:lineRule="auto"/>
        <w:ind w:left="720" w:right="0"/>
        <w:jc w:val="left"/>
        <w:rPr>
          <w:rFonts w:ascii="Arial" w:hAnsi="Arial" w:eastAsia="Arial" w:cs="Arial"/>
          <w:color w:val="374151"/>
          <w:sz w:val="22"/>
          <w:szCs w:val="22"/>
          <w:lang w:val="en-US"/>
        </w:rPr>
      </w:pPr>
    </w:p>
    <w:p xmlns:wp14="http://schemas.microsoft.com/office/word/2010/wordml" w:rsidP="255D945D" w14:paraId="6BD18F9B" wp14:textId="161FBAC9">
      <w:pPr>
        <w:pStyle w:val="ListParagraph"/>
        <w:numPr>
          <w:ilvl w:val="0"/>
          <w:numId w:val="236"/>
        </w:numPr>
        <w:suppressLineNumbers w:val="0"/>
        <w:bidi w:val="0"/>
        <w:spacing w:before="0" w:beforeAutospacing="off" w:after="0" w:afterAutospacing="off" w:line="240" w:lineRule="auto"/>
        <w:ind w:right="0"/>
        <w:jc w:val="left"/>
        <w:rPr>
          <w:rFonts w:ascii="Arial" w:hAnsi="Arial" w:eastAsia="Arial" w:cs="Arial"/>
          <w:color w:val="374151"/>
          <w:sz w:val="22"/>
          <w:szCs w:val="22"/>
          <w:lang w:val="en-US"/>
        </w:rPr>
      </w:pPr>
      <w:r w:rsidRPr="255D945D" w:rsidR="255D945D">
        <w:rPr>
          <w:rFonts w:ascii="Arial" w:hAnsi="Arial" w:eastAsia="Arial" w:cs="Arial"/>
          <w:b w:val="1"/>
          <w:bCs w:val="1"/>
          <w:color w:val="374151"/>
          <w:sz w:val="22"/>
          <w:szCs w:val="22"/>
          <w:lang w:val="en-US"/>
        </w:rPr>
        <w:t xml:space="preserve">Venue Concentration Effect:</w:t>
      </w:r>
      <w:r w:rsidRPr="255D945D" w:rsidR="7F427FEB">
        <w:rPr>
          <w:rFonts w:ascii="Arial" w:hAnsi="Arial" w:eastAsia="Arial" w:cs="Arial"/>
          <w:b w:val="1"/>
          <w:bCs w:val="1"/>
          <w:color w:val="374151"/>
          <w:sz w:val="22"/>
          <w:szCs w:val="22"/>
          <w:lang w:val="en-US"/>
        </w:rPr>
        <w:t xml:space="preserve"> </w:t>
      </w:r>
      <w:r w:rsidRPr="255D945D" w:rsidR="255D945D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The top 10 stadiums host</w:t>
      </w:r>
      <w:r w:rsidRPr="255D945D" w:rsidR="255D945D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</w:t>
      </w:r>
      <w:r w:rsidRPr="255D945D" w:rsidR="255D945D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the majority o</w:t>
      </w:r>
      <w:r w:rsidRPr="255D945D" w:rsidR="255D945D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f</w:t>
      </w:r>
      <w:r w:rsidRPr="255D945D" w:rsidR="255D945D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 matches, giving franchise-owned grounds more </w:t>
      </w:r>
      <w:r w:rsidRPr="255D945D" w:rsidR="255D945D">
        <w:rPr>
          <w:rFonts w:ascii="Arial" w:hAnsi="Arial" w:eastAsia="Arial" w:cs="Arial"/>
          <w:color w:val="374151"/>
          <w:sz w:val="22"/>
          <w:szCs w:val="22"/>
          <w:lang w:val="en-US"/>
        </w:rPr>
        <w:t xml:space="preserve">scheduling opportunities and strengthening the home-ground performance advantage.</w:t>
      </w:r>
    </w:p>
    <w:sect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w="http://schemas.openxmlformats.org/wordprocessingml/2006/main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634f4f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lvl w:ilvl="0">
      <w:start w:val="1"/>
      <w:numFmt w:val="bullet"/>
      <w:lvlText w:val="•"/>
    </w:lvl>
    <w:nsid w:val="eaa6645"/>
  </w:abstractNum>
  <w:abstractNum w:abstractNumId="6">
    <w:lvl w:ilvl="0">
      <w:start w:val="1"/>
      <w:numFmt w:val="bullet"/>
      <w:lvlText w:val="•"/>
    </w:lvl>
    <w:nsid w:val="3829f9c3"/>
  </w:abstractNum>
  <w:num w:numId="236">
    <w:abstractNumId w:val="7"/>
  </w:num>
  <w:num w:numId="19">
    <w:abstractNumId w:val="6"/>
  </w:num>
  <w:num w:numId="235">
    <w:abstractNumId w:val="0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14:docId w14:val="380F06C7"/>
  <w15:docId w15:val="{642C7B86-FEAB-4E3B-AA54-490F8DA275DA}"/>
  <w:rsids>
    <w:rsidRoot w:val="03F02AB5"/>
    <w:rsid w:val="03F02AB5"/>
    <w:rsid w:val="05479A88"/>
    <w:rsid w:val="16F70EFC"/>
    <w:rsid w:val="255D945D"/>
    <w:rsid w:val="34B4559A"/>
    <w:rsid w:val="3D30C389"/>
    <w:rsid w:val="3DC60456"/>
    <w:rsid w:val="411B683A"/>
    <w:rsid w:val="48766E2A"/>
    <w:rsid w:val="53A9E6E1"/>
    <w:rsid w:val="563165B2"/>
    <w:rsid w:val="66DB57EB"/>
    <w:rsid w:val="681663A2"/>
    <w:rsid w:val="6D78B789"/>
    <w:rsid w:val="6F7D4B04"/>
    <w:rsid w:val="793B8C09"/>
    <w:rsid w:val="7993029B"/>
    <w:rsid w:val="7A8CE19E"/>
    <w:rsid w:val="7F427FEB"/>
    <w:rsid w:val="7FE218C8"/>
    <w:rsid w:val="7FE218C8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ocRId0" /><Relationship Type="http://schemas.openxmlformats.org/officeDocument/2006/relationships/styles" Target="styles.xml" Id="docRId1" /><Relationship Type="http://schemas.openxmlformats.org/officeDocument/2006/relationships/settings" Target="settings.xml" Id="Rdc94e2f8b35e4db3" /><Relationship Type="http://schemas.openxmlformats.org/officeDocument/2006/relationships/fontTable" Target="fontTable.xml" Id="Rc6edb652a1604129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