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F3864"/>
          <w:sz w:val="52"/>
          <w:szCs w:val="52"/>
        </w:rPr>
        <w:t xml:space="preserve">SALES PERFORMANCE ANALYSIS</w:t>
      </w:r>
    </w:p>
    <w:p>
      <w:pPr>
        <w:spacing w:after="80" w:before="0"/>
        <w:jc w:val="center"/>
      </w:pPr>
      <w:r>
        <w:rPr>
          <w:rFonts w:ascii="Arial" w:cs="Arial" w:eastAsia="Arial" w:hAnsi="Arial"/>
          <w:color w:val="2E75B6"/>
          <w:sz w:val="26"/>
          <w:szCs w:val="26"/>
        </w:rPr>
        <w:t xml:space="preserve">Data Analyst Internship Task  |  Superstore Dataset</w:t>
      </w:r>
    </w:p>
    <w:p>
      <w:pPr>
        <w:spacing w:after="400" w:before="0"/>
        <w:jc w:val="center"/>
      </w:pPr>
      <w:r>
        <w:rPr>
          <w:rFonts w:ascii="Arial" w:cs="Arial" w:eastAsia="Arial" w:hAnsi="Arial"/>
          <w:i/>
          <w:iCs/>
          <w:color w:val="666666"/>
          <w:sz w:val="22"/>
          <w:szCs w:val="22"/>
        </w:rPr>
        <w:t xml:space="preserve">Exploratory Data Analysis &amp; Business Insights</w:t>
      </w:r>
    </w:p>
    <w:p>
      <w:pPr>
        <w:pBdr>
          <w:bottom w:val="single" w:color="2E75B6" w:sz="4" w:space="1"/>
        </w:pBdr>
        <w:spacing w:after="120" w:before="120"/>
      </w:pPr>
    </w:p>
    <w:p>
      <w:pPr>
        <w:pStyle w:val="Heading1"/>
        <w:spacing w:after="120" w:before="360"/>
      </w:pPr>
      <w:r>
        <w:rPr>
          <w:rFonts w:ascii="Arial" w:cs="Arial" w:eastAsia="Arial" w:hAnsi="Arial"/>
          <w:b/>
          <w:bCs/>
          <w:color w:val="1F3864"/>
          <w:sz w:val="32"/>
          <w:szCs w:val="32"/>
        </w:rPr>
        <w:t xml:space="preserve">1. Executive Summary</w:t>
      </w:r>
    </w:p>
    <w:p>
      <w:pPr>
        <w:spacing w:after="80" w:before="80"/>
      </w:pPr>
      <w:r>
        <w:rPr>
          <w:rFonts w:ascii="Arial" w:cs="Arial" w:eastAsia="Arial" w:hAnsi="Arial"/>
          <w:sz w:val="22"/>
          <w:szCs w:val="22"/>
        </w:rPr>
        <w:t xml:space="preserve">This report presents a comprehensive sales performance analysis of the Superstore dataset, covering 9,994 transactions across three product categories, four geographic regions, and three customer segments. The analysis identifies key revenue drivers, profit trends, and the impact of discount strategies on business performance.</w:t>
      </w:r>
    </w:p>
    <w:p>
      <w:pPr>
        <w:spacing w:after="80" w:before="160"/>
      </w:pPr>
    </w:p>
    <w:p>
      <w:pPr>
        <w:pStyle w:val="Heading2"/>
        <w:spacing w:after="80" w:before="240"/>
      </w:pPr>
      <w:r>
        <w:rPr>
          <w:rFonts w:ascii="Arial" w:cs="Arial" w:eastAsia="Arial" w:hAnsi="Arial"/>
          <w:b/>
          <w:bCs/>
          <w:color w:val="2E75B6"/>
          <w:sz w:val="26"/>
          <w:szCs w:val="26"/>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2"/>
                <w:szCs w:val="22"/>
              </w:rPr>
              <w:t xml:space="preserve">Metric</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2E75B6"/>
                <w:sz w:val="24"/>
                <w:szCs w:val="24"/>
              </w:rPr>
              <w:t xml:space="preserve">Value</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Notes</w:t>
            </w:r>
          </w:p>
        </w:tc>
      </w:tr>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2"/>
                <w:szCs w:val="22"/>
              </w:rPr>
              <w:t xml:space="preserve">Total Records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2E75B6"/>
                <w:sz w:val="24"/>
                <w:szCs w:val="24"/>
              </w:rPr>
              <w:t xml:space="preserve">9,994</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No missing values</w:t>
            </w:r>
          </w:p>
        </w:tc>
      </w:tr>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2"/>
                <w:szCs w:val="22"/>
              </w:rPr>
              <w:t xml:space="preserve">Average Sales per Order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2E75B6"/>
                <w:sz w:val="24"/>
                <w:szCs w:val="24"/>
              </w:rPr>
              <w:t xml:space="preserve">$229.86</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Range: $0.44 – $22,638</w:t>
            </w:r>
          </w:p>
        </w:tc>
      </w:tr>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2"/>
                <w:szCs w:val="22"/>
              </w:rPr>
              <w:t xml:space="preserve">Average Profit per Order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2E75B6"/>
                <w:sz w:val="24"/>
                <w:szCs w:val="24"/>
              </w:rPr>
              <w:t xml:space="preserve">$28.66</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Range: -$6,600 – $8,400</w:t>
            </w:r>
          </w:p>
        </w:tc>
      </w:tr>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2"/>
                <w:szCs w:val="22"/>
              </w:rPr>
              <w:t xml:space="preserve">Average Discount Applied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2E75B6"/>
                <w:sz w:val="24"/>
                <w:szCs w:val="24"/>
              </w:rPr>
              <w:t xml:space="preserve">15.6%</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Max discount: 80%</w:t>
            </w:r>
          </w:p>
        </w:tc>
      </w:tr>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2"/>
                <w:szCs w:val="22"/>
              </w:rPr>
              <w:t xml:space="preserve">Average Quantity per Order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2E75B6"/>
                <w:sz w:val="24"/>
                <w:szCs w:val="24"/>
              </w:rPr>
              <w:t xml:space="preserve">3.79 units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Max: 14 units</w:t>
            </w:r>
          </w:p>
        </w:tc>
      </w:tr>
    </w:tbl>
    <w:p>
      <w:pPr>
        <w:spacing w:after="80" w:before="200"/>
      </w:pPr>
    </w:p>
    <w:p>
      <w:pPr>
        <w:pBdr>
          <w:bottom w:val="single" w:color="2E75B6" w:sz="4" w:space="1"/>
        </w:pBdr>
        <w:spacing w:after="120" w:before="120"/>
      </w:pPr>
    </w:p>
    <w:p>
      <w:pPr>
        <w:pStyle w:val="Heading1"/>
        <w:spacing w:after="120" w:before="360"/>
      </w:pPr>
      <w:r>
        <w:rPr>
          <w:rFonts w:ascii="Arial" w:cs="Arial" w:eastAsia="Arial" w:hAnsi="Arial"/>
          <w:b/>
          <w:bCs/>
          <w:color w:val="1F3864"/>
          <w:sz w:val="32"/>
          <w:szCs w:val="32"/>
        </w:rPr>
        <w:t xml:space="preserve">2. Dataset Overview</w:t>
      </w:r>
    </w:p>
    <w:p>
      <w:pPr>
        <w:spacing w:after="80" w:before="80"/>
      </w:pPr>
      <w:r>
        <w:rPr>
          <w:rFonts w:ascii="Arial" w:cs="Arial" w:eastAsia="Arial" w:hAnsi="Arial"/>
          <w:sz w:val="22"/>
          <w:szCs w:val="22"/>
        </w:rPr>
        <w:t xml:space="preserve">The dataset contains 21 columns covering order details, customer information, geographic data, and financial metrics. All fields are complete with zero null values, ensuring data quality for analysis.</w:t>
      </w:r>
    </w:p>
    <w:p>
      <w:pPr>
        <w:pStyle w:val="Heading2"/>
        <w:spacing w:after="80" w:before="240"/>
      </w:pPr>
      <w:r>
        <w:rPr>
          <w:rFonts w:ascii="Arial" w:cs="Arial" w:eastAsia="Arial" w:hAnsi="Arial"/>
          <w:b/>
          <w:bCs/>
          <w:color w:val="2E75B6"/>
          <w:sz w:val="26"/>
          <w:szCs w:val="26"/>
        </w:rPr>
        <w:t xml:space="preserve">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20"/>
                <w:szCs w:val="20"/>
              </w:rPr>
              <w:t xml:space="preserve">Order Date / Ship Date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Transaction and shipping dates</w:t>
            </w:r>
          </w:p>
        </w:tc>
      </w:tr>
      <w:tr>
        <w:trPr>
          <w:tblHeader w:val="false"/>
        </w:trP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20"/>
                <w:szCs w:val="20"/>
              </w:rPr>
              <w:t xml:space="preserve">Customer ID / 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Unique customer identifiers</w:t>
            </w:r>
          </w:p>
        </w:tc>
      </w:tr>
      <w:tr>
        <w:trPr>
          <w:tblHeader w:val="false"/>
        </w:trP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Segment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Consumer, Corporate, Home Office</w:t>
            </w:r>
          </w:p>
        </w:tc>
      </w:tr>
      <w:tr>
        <w:trPr>
          <w:tblHeader w:val="false"/>
        </w:trP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Region / State / City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Geographic breakdown (USA)</w:t>
            </w:r>
          </w:p>
        </w:tc>
      </w:tr>
      <w:tr>
        <w:trPr>
          <w:tblHeader w:val="false"/>
        </w:trP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Category / Sub-Category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categories, 17 sub-categories</w:t>
            </w:r>
          </w:p>
        </w:tc>
      </w:tr>
      <w:tr>
        <w:trPr>
          <w:tblHeader w:val="false"/>
        </w:trP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20"/>
                <w:szCs w:val="20"/>
              </w:rPr>
              <w:t xml:space="preserve">Sales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Revenue per line item</w:t>
            </w:r>
          </w:p>
        </w:tc>
      </w:tr>
      <w:tr>
        <w:trPr>
          <w:tblHeader w:val="false"/>
        </w:trP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20"/>
                <w:szCs w:val="20"/>
              </w:rPr>
              <w:t xml:space="preserve">Quantity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Units ordered (1–14)</w:t>
            </w:r>
          </w:p>
        </w:tc>
      </w:tr>
      <w:tr>
        <w:trPr>
          <w:tblHeader w:val="false"/>
        </w:trP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20"/>
                <w:szCs w:val="20"/>
              </w:rPr>
              <w:t xml:space="preserve">Discount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Discount rate (0–0.8)</w:t>
            </w:r>
          </w:p>
        </w:tc>
      </w:tr>
      <w:tr>
        <w:trPr>
          <w:tblHeader w:val="false"/>
        </w:trP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Profit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Net profit per line item</w:t>
            </w:r>
          </w:p>
        </w:tc>
      </w:tr>
    </w:tbl>
    <w:p>
      <w:pPr>
        <w:spacing w:after="80" w:before="200"/>
      </w:pPr>
    </w:p>
    <w:p>
      <w:pPr>
        <w:pBdr>
          <w:bottom w:val="single" w:color="2E75B6" w:sz="4" w:space="1"/>
        </w:pBdr>
        <w:spacing w:after="120" w:before="120"/>
      </w:pPr>
    </w:p>
    <w:p>
      <w:pPr>
        <w:pStyle w:val="Heading1"/>
        <w:spacing w:after="120" w:before="360"/>
      </w:pPr>
      <w:r>
        <w:rPr>
          <w:rFonts w:ascii="Arial" w:cs="Arial" w:eastAsia="Arial" w:hAnsi="Arial"/>
          <w:b/>
          <w:bCs/>
          <w:color w:val="1F3864"/>
          <w:sz w:val="32"/>
          <w:szCs w:val="32"/>
        </w:rPr>
        <w:t xml:space="preserve">3. Sales &amp; Profit by Category</w:t>
      </w:r>
    </w:p>
    <w:p>
      <w:pPr>
        <w:spacing w:after="80" w:before="80"/>
      </w:pPr>
      <w:r>
        <w:rPr>
          <w:rFonts w:ascii="Arial" w:cs="Arial" w:eastAsia="Arial" w:hAnsi="Arial"/>
          <w:sz w:val="22"/>
          <w:szCs w:val="22"/>
        </w:rPr>
        <w:t xml:space="preserve">Technology leads in both revenue and profitability, while Furniture shows the weakest profit margins despite generating substantial sales — largely due to heavy discounting on tables and bookcases.</w:t>
      </w:r>
    </w:p>
    <w:p>
      <w:pPr>
        <w:spacing w:after="20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pStyle w:val="Heading2"/>
        <w:spacing w:after="80" w:before="240"/>
      </w:pPr>
      <w:r>
        <w:rPr>
          <w:rFonts w:ascii="Arial" w:cs="Arial" w:eastAsia="Arial" w:hAnsi="Arial"/>
          <w:b/>
          <w:bCs/>
          <w:color w:val="2E75B6"/>
          <w:sz w:val="26"/>
          <w:szCs w:val="26"/>
        </w:rPr>
        <w:t xml:space="preserve">Key Findings</w:t>
      </w:r>
    </w:p>
    <w:p>
      <w:pPr>
        <w:pStyle w:val="ListParagraph"/>
        <w:numPr>
          <w:ilvl w:val="0"/>
          <w:numId w:val="2"/>
        </w:numPr>
        <w:spacing w:after="60" w:before="60"/>
      </w:pPr>
      <w:r>
        <w:rPr>
          <w:rFonts w:ascii="Arial" w:cs="Arial" w:eastAsia="Arial" w:hAnsi="Arial"/>
          <w:sz w:val="22"/>
          <w:szCs w:val="22"/>
        </w:rPr>
        <w:t xml:space="preserve">Technology: Highest sales ($836K) and profit ($145K) — strongest performer</w:t>
      </w:r>
    </w:p>
    <w:p>
      <w:pPr>
        <w:pStyle w:val="ListParagraph"/>
        <w:numPr>
          <w:ilvl w:val="0"/>
          <w:numId w:val="2"/>
        </w:numPr>
        <w:spacing w:after="60" w:before="60"/>
      </w:pPr>
      <w:r>
        <w:rPr>
          <w:rFonts w:ascii="Arial" w:cs="Arial" w:eastAsia="Arial" w:hAnsi="Arial"/>
          <w:sz w:val="22"/>
          <w:szCs w:val="22"/>
        </w:rPr>
        <w:t xml:space="preserve">Office Supplies: High profit margin ($122K profit on $719K sales = ~17%)</w:t>
      </w:r>
    </w:p>
    <w:p>
      <w:pPr>
        <w:pStyle w:val="ListParagraph"/>
        <w:numPr>
          <w:ilvl w:val="0"/>
          <w:numId w:val="2"/>
        </w:numPr>
        <w:spacing w:after="60" w:before="60"/>
      </w:pPr>
      <w:r>
        <w:rPr>
          <w:rFonts w:ascii="Arial" w:cs="Arial" w:eastAsia="Arial" w:hAnsi="Arial"/>
          <w:sz w:val="22"/>
          <w:szCs w:val="22"/>
        </w:rPr>
        <w:t xml:space="preserve">Furniture: Low profit ($18K on $742K sales = ~2.5%) — discounting erodes margins</w:t>
      </w:r>
    </w:p>
    <w:p>
      <w:pPr>
        <w:spacing w:after="80" w:before="160"/>
      </w:pPr>
    </w:p>
    <w:p>
      <w:pPr>
        <w:pBdr>
          <w:bottom w:val="single" w:color="2E75B6" w:sz="4" w:space="1"/>
        </w:pBdr>
        <w:spacing w:after="120" w:before="120"/>
      </w:pPr>
    </w:p>
    <w:p>
      <w:pPr>
        <w:pStyle w:val="Heading1"/>
        <w:spacing w:after="120" w:before="360"/>
      </w:pPr>
      <w:r>
        <w:rPr>
          <w:rFonts w:ascii="Arial" w:cs="Arial" w:eastAsia="Arial" w:hAnsi="Arial"/>
          <w:b/>
          <w:bCs/>
          <w:color w:val="1F3864"/>
          <w:sz w:val="32"/>
          <w:szCs w:val="32"/>
        </w:rPr>
        <w:t xml:space="preserve">4. Regional Sales Analysis</w:t>
      </w:r>
    </w:p>
    <w:p>
      <w:pPr>
        <w:spacing w:after="80" w:before="80"/>
      </w:pPr>
      <w:r>
        <w:rPr>
          <w:rFonts w:ascii="Arial" w:cs="Arial" w:eastAsia="Arial" w:hAnsi="Arial"/>
          <w:sz w:val="22"/>
          <w:szCs w:val="22"/>
        </w:rPr>
        <w:t xml:space="preserve">The West region dominates sales performance, followed closely by the East. The Central and South regions present significant growth opportunities with targeted strategies.</w:t>
      </w:r>
    </w:p>
    <w:p>
      <w:pPr>
        <w:spacing w:after="200" w:before="16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43250"/>
                    </a:xfrm>
                    <a:prstGeom prst="rect">
                      <a:avLst/>
                    </a:prstGeom>
                  </pic:spPr>
                </pic:pic>
              </a:graphicData>
            </a:graphic>
          </wp:inline>
        </w:drawing>
      </w:r>
    </w:p>
    <w:p>
      <w:pPr>
        <w:pStyle w:val="Heading2"/>
        <w:spacing w:after="80" w:before="240"/>
      </w:pPr>
      <w:r>
        <w:rPr>
          <w:rFonts w:ascii="Arial" w:cs="Arial" w:eastAsia="Arial" w:hAnsi="Arial"/>
          <w:b/>
          <w:bCs/>
          <w:color w:val="2E75B6"/>
          <w:sz w:val="26"/>
          <w:szCs w:val="26"/>
        </w:rPr>
        <w:t xml:space="preserve">Regional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2"/>
                <w:szCs w:val="22"/>
              </w:rPr>
              <w:t xml:space="preserve">Region</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2E75B6"/>
                <w:sz w:val="24"/>
                <w:szCs w:val="24"/>
              </w:rPr>
              <w:t xml:space="preserve">Total Sales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Performance</w:t>
            </w:r>
          </w:p>
        </w:tc>
      </w:tr>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2"/>
                <w:szCs w:val="22"/>
              </w:rPr>
              <w:t xml:space="preserve">West</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2E75B6"/>
                <w:sz w:val="24"/>
                <w:szCs w:val="24"/>
              </w:rPr>
              <w:t xml:space="preserve">$725,458</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Top Performer</w:t>
            </w:r>
          </w:p>
        </w:tc>
      </w:tr>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2"/>
                <w:szCs w:val="22"/>
              </w:rPr>
              <w:t xml:space="preserve">East</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2E75B6"/>
                <w:sz w:val="24"/>
                <w:szCs w:val="24"/>
              </w:rPr>
              <w:t xml:space="preserve">$678,781</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Strong</w:t>
            </w:r>
          </w:p>
        </w:tc>
      </w:tr>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2"/>
                <w:szCs w:val="22"/>
              </w:rPr>
              <w:t xml:space="preserve">Central</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2E75B6"/>
                <w:sz w:val="24"/>
                <w:szCs w:val="24"/>
              </w:rPr>
              <w:t xml:space="preserve">$501,240</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Moderate</w:t>
            </w:r>
          </w:p>
        </w:tc>
      </w:tr>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left"/>
            </w:pPr>
            <w:r>
              <w:rPr>
                <w:rFonts w:ascii="Arial" w:cs="Arial" w:eastAsia="Arial" w:hAnsi="Arial"/>
                <w:b w:val="false"/>
                <w:bCs w:val="false"/>
                <w:color w:val="333333"/>
                <w:sz w:val="22"/>
                <w:szCs w:val="22"/>
              </w:rPr>
              <w:t xml:space="preserve">South</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2E75B6"/>
                <w:sz w:val="24"/>
                <w:szCs w:val="24"/>
              </w:rPr>
              <w:t xml:space="preserve">$391,722</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333333"/>
                <w:sz w:val="24"/>
                <w:szCs w:val="24"/>
              </w:rPr>
              <w:t xml:space="preserve">Growth Opportunity</w:t>
            </w:r>
          </w:p>
        </w:tc>
      </w:tr>
    </w:tbl>
    <w:p>
      <w:pPr>
        <w:spacing w:after="80" w:before="200"/>
      </w:pPr>
    </w:p>
    <w:p>
      <w:pPr>
        <w:pBdr>
          <w:bottom w:val="single" w:color="2E75B6" w:sz="4" w:space="1"/>
        </w:pBdr>
        <w:spacing w:after="120" w:before="120"/>
      </w:pPr>
    </w:p>
    <w:p>
      <w:pPr>
        <w:pStyle w:val="Heading1"/>
        <w:spacing w:after="120" w:before="360"/>
      </w:pPr>
      <w:r>
        <w:rPr>
          <w:rFonts w:ascii="Arial" w:cs="Arial" w:eastAsia="Arial" w:hAnsi="Arial"/>
          <w:b/>
          <w:bCs/>
          <w:color w:val="1F3864"/>
          <w:sz w:val="32"/>
          <w:szCs w:val="32"/>
        </w:rPr>
        <w:t xml:space="preserve">5. Customer Segment Analysis</w:t>
      </w:r>
    </w:p>
    <w:p>
      <w:pPr>
        <w:spacing w:after="80" w:before="80"/>
      </w:pPr>
      <w:r>
        <w:rPr>
          <w:rFonts w:ascii="Arial" w:cs="Arial" w:eastAsia="Arial" w:hAnsi="Arial"/>
          <w:sz w:val="22"/>
          <w:szCs w:val="22"/>
        </w:rPr>
        <w:t xml:space="preserve">Consumer segment accounts for the majority of sales, making it the primary revenue driver. However, Corporate clients typically generate higher per-order values, making them strategically important.</w:t>
      </w:r>
    </w:p>
    <w:p>
      <w:pPr>
        <w:spacing w:after="200" w:before="16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429000"/>
                    </a:xfrm>
                    <a:prstGeom prst="rect">
                      <a:avLst/>
                    </a:prstGeom>
                  </pic:spPr>
                </pic:pic>
              </a:graphicData>
            </a:graphic>
          </wp:inline>
        </w:drawing>
      </w:r>
    </w:p>
    <w:p>
      <w:pPr>
        <w:pStyle w:val="Heading2"/>
        <w:spacing w:after="80" w:before="240"/>
      </w:pPr>
      <w:r>
        <w:rPr>
          <w:rFonts w:ascii="Arial" w:cs="Arial" w:eastAsia="Arial" w:hAnsi="Arial"/>
          <w:b/>
          <w:bCs/>
          <w:color w:val="2E75B6"/>
          <w:sz w:val="26"/>
          <w:szCs w:val="26"/>
        </w:rPr>
        <w:t xml:space="preserve">Segment Insights</w:t>
      </w:r>
    </w:p>
    <w:p>
      <w:pPr>
        <w:pStyle w:val="ListParagraph"/>
        <w:numPr>
          <w:ilvl w:val="0"/>
          <w:numId w:val="2"/>
        </w:numPr>
        <w:spacing w:after="60" w:before="60"/>
      </w:pPr>
      <w:r>
        <w:rPr>
          <w:rFonts w:ascii="Arial" w:cs="Arial" w:eastAsia="Arial" w:hAnsi="Arial"/>
          <w:sz w:val="22"/>
          <w:szCs w:val="22"/>
        </w:rPr>
        <w:t xml:space="preserve">Consumer (50.1%): Largest segment — volume-driven, price-sensitive</w:t>
      </w:r>
    </w:p>
    <w:p>
      <w:pPr>
        <w:pStyle w:val="ListParagraph"/>
        <w:numPr>
          <w:ilvl w:val="0"/>
          <w:numId w:val="2"/>
        </w:numPr>
        <w:spacing w:after="60" w:before="60"/>
      </w:pPr>
      <w:r>
        <w:rPr>
          <w:rFonts w:ascii="Arial" w:cs="Arial" w:eastAsia="Arial" w:hAnsi="Arial"/>
          <w:sz w:val="22"/>
          <w:szCs w:val="22"/>
        </w:rPr>
        <w:t xml:space="preserve">Corporate (30.4%): Higher order values, prefer premium products</w:t>
      </w:r>
    </w:p>
    <w:p>
      <w:pPr>
        <w:pStyle w:val="ListParagraph"/>
        <w:numPr>
          <w:ilvl w:val="0"/>
          <w:numId w:val="2"/>
        </w:numPr>
        <w:spacing w:after="60" w:before="60"/>
      </w:pPr>
      <w:r>
        <w:rPr>
          <w:rFonts w:ascii="Arial" w:cs="Arial" w:eastAsia="Arial" w:hAnsi="Arial"/>
          <w:sz w:val="22"/>
          <w:szCs w:val="22"/>
        </w:rPr>
        <w:t xml:space="preserve">Home Office (18.5%): Smallest but fastest-growing segment</w:t>
      </w:r>
    </w:p>
    <w:p>
      <w:pPr>
        <w:spacing w:after="80" w:before="160"/>
      </w:pPr>
    </w:p>
    <w:p>
      <w:pPr>
        <w:pBdr>
          <w:bottom w:val="single" w:color="2E75B6" w:sz="4" w:space="1"/>
        </w:pBdr>
        <w:spacing w:after="120" w:before="120"/>
      </w:pPr>
    </w:p>
    <w:p>
      <w:pPr>
        <w:pStyle w:val="Heading1"/>
        <w:spacing w:after="120" w:before="360"/>
      </w:pPr>
      <w:r>
        <w:rPr>
          <w:rFonts w:ascii="Arial" w:cs="Arial" w:eastAsia="Arial" w:hAnsi="Arial"/>
          <w:b/>
          <w:bCs/>
          <w:color w:val="1F3864"/>
          <w:sz w:val="32"/>
          <w:szCs w:val="32"/>
        </w:rPr>
        <w:t xml:space="preserve">6. Top Performing Sub-Categories</w:t>
      </w:r>
    </w:p>
    <w:p>
      <w:pPr>
        <w:spacing w:after="80" w:before="80"/>
      </w:pPr>
      <w:r>
        <w:rPr>
          <w:rFonts w:ascii="Arial" w:cs="Arial" w:eastAsia="Arial" w:hAnsi="Arial"/>
          <w:sz w:val="22"/>
          <w:szCs w:val="22"/>
        </w:rPr>
        <w:t xml:space="preserve">Copiers, Phones, and Accessories are the top profit generators. Investing in marketing and inventory for these sub-categories offers the best return on investment.</w:t>
      </w:r>
    </w:p>
    <w:p>
      <w:pPr>
        <w:spacing w:after="20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pStyle w:val="Heading2"/>
        <w:spacing w:after="80" w:before="240"/>
      </w:pPr>
      <w:r>
        <w:rPr>
          <w:rFonts w:ascii="Arial" w:cs="Arial" w:eastAsia="Arial" w:hAnsi="Arial"/>
          <w:b/>
          <w:bCs/>
          <w:color w:val="2E75B6"/>
          <w:sz w:val="26"/>
          <w:szCs w:val="26"/>
        </w:rPr>
        <w:t xml:space="preserve">Bottom Performers</w:t>
      </w:r>
    </w:p>
    <w:p>
      <w:pPr>
        <w:pStyle w:val="ListParagraph"/>
        <w:numPr>
          <w:ilvl w:val="0"/>
          <w:numId w:val="2"/>
        </w:numPr>
        <w:spacing w:after="60" w:before="60"/>
      </w:pPr>
      <w:r>
        <w:rPr>
          <w:rFonts w:ascii="Arial" w:cs="Arial" w:eastAsia="Arial" w:hAnsi="Arial"/>
          <w:sz w:val="22"/>
          <w:szCs w:val="22"/>
        </w:rPr>
        <w:t xml:space="preserve">Tables: Significant losses due to high discounts (avg 30-45%)</w:t>
      </w:r>
    </w:p>
    <w:p>
      <w:pPr>
        <w:pStyle w:val="ListParagraph"/>
        <w:numPr>
          <w:ilvl w:val="0"/>
          <w:numId w:val="2"/>
        </w:numPr>
        <w:spacing w:after="60" w:before="60"/>
      </w:pPr>
      <w:r>
        <w:rPr>
          <w:rFonts w:ascii="Arial" w:cs="Arial" w:eastAsia="Arial" w:hAnsi="Arial"/>
          <w:sz w:val="22"/>
          <w:szCs w:val="22"/>
        </w:rPr>
        <w:t xml:space="preserve">Bookcases: Low margins, frequently discounted</w:t>
      </w:r>
    </w:p>
    <w:p>
      <w:pPr>
        <w:pStyle w:val="ListParagraph"/>
        <w:numPr>
          <w:ilvl w:val="0"/>
          <w:numId w:val="2"/>
        </w:numPr>
        <w:spacing w:after="60" w:before="60"/>
      </w:pPr>
      <w:r>
        <w:rPr>
          <w:rFonts w:ascii="Arial" w:cs="Arial" w:eastAsia="Arial" w:hAnsi="Arial"/>
          <w:sz w:val="22"/>
          <w:szCs w:val="22"/>
        </w:rPr>
        <w:t xml:space="preserve">Supplies: Minimal profit contribution</w:t>
      </w:r>
    </w:p>
    <w:p>
      <w:pPr>
        <w:spacing w:after="80" w:before="160"/>
      </w:pPr>
    </w:p>
    <w:p>
      <w:pPr>
        <w:pBdr>
          <w:bottom w:val="single" w:color="2E75B6" w:sz="4" w:space="1"/>
        </w:pBdr>
        <w:spacing w:after="120" w:before="120"/>
      </w:pPr>
    </w:p>
    <w:p>
      <w:pPr>
        <w:pStyle w:val="Heading1"/>
        <w:spacing w:after="120" w:before="360"/>
      </w:pPr>
      <w:r>
        <w:rPr>
          <w:rFonts w:ascii="Arial" w:cs="Arial" w:eastAsia="Arial" w:hAnsi="Arial"/>
          <w:b/>
          <w:bCs/>
          <w:color w:val="1F3864"/>
          <w:sz w:val="32"/>
          <w:szCs w:val="32"/>
        </w:rPr>
        <w:t xml:space="preserve">7. Discount Impact on Profitability</w:t>
      </w:r>
    </w:p>
    <w:p>
      <w:pPr>
        <w:spacing w:after="80" w:before="80"/>
      </w:pPr>
      <w:r>
        <w:rPr>
          <w:rFonts w:ascii="Arial" w:cs="Arial" w:eastAsia="Arial" w:hAnsi="Arial"/>
          <w:sz w:val="22"/>
          <w:szCs w:val="22"/>
        </w:rPr>
        <w:t xml:space="preserve">One of the most critical findings is the strong negative correlation between discount rates and profit. Orders with discounts above 20% frequently result in losses, indicating that the current discounting strategy needs immediate review.</w:t>
      </w:r>
    </w:p>
    <w:p>
      <w:pPr>
        <w:spacing w:after="200" w:before="16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143250"/>
                    </a:xfrm>
                    <a:prstGeom prst="rect">
                      <a:avLst/>
                    </a:prstGeom>
                  </pic:spPr>
                </pic:pic>
              </a:graphicData>
            </a:graphic>
          </wp:inline>
        </w:drawing>
      </w:r>
    </w:p>
    <w:p>
      <w:pPr>
        <w:pStyle w:val="Heading2"/>
        <w:spacing w:after="80" w:before="240"/>
      </w:pPr>
      <w:r>
        <w:rPr>
          <w:rFonts w:ascii="Arial" w:cs="Arial" w:eastAsia="Arial" w:hAnsi="Arial"/>
          <w:b/>
          <w:bCs/>
          <w:color w:val="2E75B6"/>
          <w:sz w:val="26"/>
          <w:szCs w:val="26"/>
        </w:rPr>
        <w:t xml:space="preserve">Discount Analysis Summary</w:t>
      </w:r>
    </w:p>
    <w:p>
      <w:pPr>
        <w:pStyle w:val="ListParagraph"/>
        <w:numPr>
          <w:ilvl w:val="0"/>
          <w:numId w:val="2"/>
        </w:numPr>
        <w:spacing w:after="60" w:before="60"/>
      </w:pPr>
      <w:r>
        <w:rPr>
          <w:rFonts w:ascii="Arial" w:cs="Arial" w:eastAsia="Arial" w:hAnsi="Arial"/>
          <w:sz w:val="22"/>
          <w:szCs w:val="22"/>
        </w:rPr>
        <w:t xml:space="preserve">0% discount: Consistent positive profits across all categories</w:t>
      </w:r>
    </w:p>
    <w:p>
      <w:pPr>
        <w:pStyle w:val="ListParagraph"/>
        <w:numPr>
          <w:ilvl w:val="0"/>
          <w:numId w:val="2"/>
        </w:numPr>
        <w:spacing w:after="60" w:before="60"/>
      </w:pPr>
      <w:r>
        <w:rPr>
          <w:rFonts w:ascii="Arial" w:cs="Arial" w:eastAsia="Arial" w:hAnsi="Arial"/>
          <w:sz w:val="22"/>
          <w:szCs w:val="22"/>
        </w:rPr>
        <w:t xml:space="preserve">10–20% discount: Marginal profits, acceptable for volume strategies</w:t>
      </w:r>
    </w:p>
    <w:p>
      <w:pPr>
        <w:pStyle w:val="ListParagraph"/>
        <w:numPr>
          <w:ilvl w:val="0"/>
          <w:numId w:val="2"/>
        </w:numPr>
        <w:spacing w:after="60" w:before="60"/>
      </w:pPr>
      <w:r>
        <w:rPr>
          <w:rFonts w:ascii="Arial" w:cs="Arial" w:eastAsia="Arial" w:hAnsi="Arial"/>
          <w:sz w:val="22"/>
          <w:szCs w:val="22"/>
        </w:rPr>
        <w:t xml:space="preserve">30%+ discount: Most orders become loss-making — high business risk</w:t>
      </w:r>
    </w:p>
    <w:p>
      <w:pPr>
        <w:pStyle w:val="ListParagraph"/>
        <w:numPr>
          <w:ilvl w:val="0"/>
          <w:numId w:val="2"/>
        </w:numPr>
        <w:spacing w:after="60" w:before="60"/>
      </w:pPr>
      <w:r>
        <w:rPr>
          <w:rFonts w:ascii="Arial" w:cs="Arial" w:eastAsia="Arial" w:hAnsi="Arial"/>
          <w:sz w:val="22"/>
          <w:szCs w:val="22"/>
        </w:rPr>
        <w:t xml:space="preserve">Max 80% discount: Extreme losses observed, requires policy intervention</w:t>
      </w:r>
    </w:p>
    <w:p>
      <w:pPr>
        <w:spacing w:after="80" w:before="160"/>
      </w:pPr>
    </w:p>
    <w:p>
      <w:pPr>
        <w:pBdr>
          <w:bottom w:val="single" w:color="2E75B6" w:sz="4" w:space="1"/>
        </w:pBdr>
        <w:spacing w:after="120" w:before="120"/>
      </w:pPr>
    </w:p>
    <w:p>
      <w:pPr>
        <w:pStyle w:val="Heading1"/>
        <w:spacing w:after="120" w:before="360"/>
      </w:pPr>
      <w:r>
        <w:rPr>
          <w:rFonts w:ascii="Arial" w:cs="Arial" w:eastAsia="Arial" w:hAnsi="Arial"/>
          <w:b/>
          <w:bCs/>
          <w:color w:val="1F3864"/>
          <w:sz w:val="32"/>
          <w:szCs w:val="32"/>
        </w:rPr>
        <w:t xml:space="preserve">8. Business Recommendations</w:t>
      </w:r>
    </w:p>
    <w:p>
      <w:pPr>
        <w:pStyle w:val="Heading2"/>
        <w:spacing w:after="80" w:before="240"/>
      </w:pPr>
      <w:r>
        <w:rPr>
          <w:rFonts w:ascii="Arial" w:cs="Arial" w:eastAsia="Arial" w:hAnsi="Arial"/>
          <w:b/>
          <w:bCs/>
          <w:color w:val="2E75B6"/>
          <w:sz w:val="26"/>
          <w:szCs w:val="26"/>
        </w:rPr>
        <w:t xml:space="preserve">Immediate Actions</w:t>
      </w:r>
    </w:p>
    <w:p>
      <w:pPr>
        <w:pStyle w:val="ListParagraph"/>
        <w:numPr>
          <w:ilvl w:val="0"/>
          <w:numId w:val="2"/>
        </w:numPr>
        <w:spacing w:after="60" w:before="60"/>
      </w:pPr>
      <w:r>
        <w:rPr>
          <w:rFonts w:ascii="Arial" w:cs="Arial" w:eastAsia="Arial" w:hAnsi="Arial"/>
          <w:sz w:val="22"/>
          <w:szCs w:val="22"/>
        </w:rPr>
        <w:t xml:space="preserve">Cap discounts at 20% across all categories to protect profit margins</w:t>
      </w:r>
    </w:p>
    <w:p>
      <w:pPr>
        <w:pStyle w:val="ListParagraph"/>
        <w:numPr>
          <w:ilvl w:val="0"/>
          <w:numId w:val="2"/>
        </w:numPr>
        <w:spacing w:after="60" w:before="60"/>
      </w:pPr>
      <w:r>
        <w:rPr>
          <w:rFonts w:ascii="Arial" w:cs="Arial" w:eastAsia="Arial" w:hAnsi="Arial"/>
          <w:sz w:val="22"/>
          <w:szCs w:val="22"/>
        </w:rPr>
        <w:t xml:space="preserve">Prioritize Technology and Office Supplies in marketing spend — highest ROI</w:t>
      </w:r>
    </w:p>
    <w:p>
      <w:pPr>
        <w:pStyle w:val="ListParagraph"/>
        <w:numPr>
          <w:ilvl w:val="0"/>
          <w:numId w:val="2"/>
        </w:numPr>
        <w:spacing w:after="60" w:before="60"/>
      </w:pPr>
      <w:r>
        <w:rPr>
          <w:rFonts w:ascii="Arial" w:cs="Arial" w:eastAsia="Arial" w:hAnsi="Arial"/>
          <w:sz w:val="22"/>
          <w:szCs w:val="22"/>
        </w:rPr>
        <w:t xml:space="preserve">Review Furniture pricing strategy — especially Tables sub-category</w:t>
      </w:r>
    </w:p>
    <w:p>
      <w:pPr>
        <w:pStyle w:val="Heading2"/>
        <w:spacing w:after="80" w:before="240"/>
      </w:pPr>
      <w:r>
        <w:rPr>
          <w:rFonts w:ascii="Arial" w:cs="Arial" w:eastAsia="Arial" w:hAnsi="Arial"/>
          <w:b/>
          <w:bCs/>
          <w:color w:val="2E75B6"/>
          <w:sz w:val="26"/>
          <w:szCs w:val="26"/>
        </w:rPr>
        <w:t xml:space="preserve">Growth Strategies</w:t>
      </w:r>
    </w:p>
    <w:p>
      <w:pPr>
        <w:pStyle w:val="ListParagraph"/>
        <w:numPr>
          <w:ilvl w:val="0"/>
          <w:numId w:val="2"/>
        </w:numPr>
        <w:spacing w:after="60" w:before="60"/>
      </w:pPr>
      <w:r>
        <w:rPr>
          <w:rFonts w:ascii="Arial" w:cs="Arial" w:eastAsia="Arial" w:hAnsi="Arial"/>
          <w:sz w:val="22"/>
          <w:szCs w:val="22"/>
        </w:rPr>
        <w:t xml:space="preserve">Expand presence in West region — highest sales volume and profitability</w:t>
      </w:r>
    </w:p>
    <w:p>
      <w:pPr>
        <w:pStyle w:val="ListParagraph"/>
        <w:numPr>
          <w:ilvl w:val="0"/>
          <w:numId w:val="2"/>
        </w:numPr>
        <w:spacing w:after="60" w:before="60"/>
      </w:pPr>
      <w:r>
        <w:rPr>
          <w:rFonts w:ascii="Arial" w:cs="Arial" w:eastAsia="Arial" w:hAnsi="Arial"/>
          <w:sz w:val="22"/>
          <w:szCs w:val="22"/>
        </w:rPr>
        <w:t xml:space="preserve">Target Corporate segment with premium bundles to increase average order value</w:t>
      </w:r>
    </w:p>
    <w:p>
      <w:pPr>
        <w:pStyle w:val="ListParagraph"/>
        <w:numPr>
          <w:ilvl w:val="0"/>
          <w:numId w:val="2"/>
        </w:numPr>
        <w:spacing w:after="60" w:before="60"/>
      </w:pPr>
      <w:r>
        <w:rPr>
          <w:rFonts w:ascii="Arial" w:cs="Arial" w:eastAsia="Arial" w:hAnsi="Arial"/>
          <w:sz w:val="22"/>
          <w:szCs w:val="22"/>
        </w:rPr>
        <w:t xml:space="preserve">Develop Home Office segment with tailored product bundles — fastest growing</w:t>
      </w:r>
    </w:p>
    <w:p>
      <w:pPr>
        <w:pStyle w:val="Heading2"/>
        <w:spacing w:after="80" w:before="240"/>
      </w:pPr>
      <w:r>
        <w:rPr>
          <w:rFonts w:ascii="Arial" w:cs="Arial" w:eastAsia="Arial" w:hAnsi="Arial"/>
          <w:b/>
          <w:bCs/>
          <w:color w:val="2E75B6"/>
          <w:sz w:val="26"/>
          <w:szCs w:val="26"/>
        </w:rPr>
        <w:t xml:space="preserve">Data-Driven Monitoring</w:t>
      </w:r>
    </w:p>
    <w:p>
      <w:pPr>
        <w:pStyle w:val="ListParagraph"/>
        <w:numPr>
          <w:ilvl w:val="0"/>
          <w:numId w:val="2"/>
        </w:numPr>
        <w:spacing w:after="60" w:before="60"/>
      </w:pPr>
      <w:r>
        <w:rPr>
          <w:rFonts w:ascii="Arial" w:cs="Arial" w:eastAsia="Arial" w:hAnsi="Arial"/>
          <w:sz w:val="22"/>
          <w:szCs w:val="22"/>
        </w:rPr>
        <w:t xml:space="preserve">Implement monthly profit margin tracking by sub-category</w:t>
      </w:r>
    </w:p>
    <w:p>
      <w:pPr>
        <w:pStyle w:val="ListParagraph"/>
        <w:numPr>
          <w:ilvl w:val="0"/>
          <w:numId w:val="2"/>
        </w:numPr>
        <w:spacing w:after="60" w:before="60"/>
      </w:pPr>
      <w:r>
        <w:rPr>
          <w:rFonts w:ascii="Arial" w:cs="Arial" w:eastAsia="Arial" w:hAnsi="Arial"/>
          <w:sz w:val="22"/>
          <w:szCs w:val="22"/>
        </w:rPr>
        <w:t xml:space="preserve">Create discount approval workflow for orders exceeding 20% discount</w:t>
      </w:r>
    </w:p>
    <w:p>
      <w:pPr>
        <w:pStyle w:val="ListParagraph"/>
        <w:numPr>
          <w:ilvl w:val="0"/>
          <w:numId w:val="2"/>
        </w:numPr>
        <w:spacing w:after="60" w:before="60"/>
      </w:pPr>
      <w:r>
        <w:rPr>
          <w:rFonts w:ascii="Arial" w:cs="Arial" w:eastAsia="Arial" w:hAnsi="Arial"/>
          <w:sz w:val="22"/>
          <w:szCs w:val="22"/>
        </w:rPr>
        <w:t xml:space="preserve">Track regional performance quarterly to identify emerging markets</w:t>
      </w:r>
    </w:p>
    <w:p>
      <w:pPr>
        <w:spacing w:after="80" w:before="200"/>
      </w:pPr>
    </w:p>
    <w:p>
      <w:pPr>
        <w:pBdr>
          <w:bottom w:val="single" w:color="2E75B6" w:sz="4" w:space="1"/>
        </w:pBdr>
        <w:spacing w:after="120" w:before="120"/>
      </w:pPr>
    </w:p>
    <w:p>
      <w:pPr>
        <w:pStyle w:val="Heading1"/>
        <w:spacing w:after="120" w:before="360"/>
      </w:pPr>
      <w:r>
        <w:rPr>
          <w:rFonts w:ascii="Arial" w:cs="Arial" w:eastAsia="Arial" w:hAnsi="Arial"/>
          <w:b/>
          <w:bCs/>
          <w:color w:val="1F3864"/>
          <w:sz w:val="32"/>
          <w:szCs w:val="32"/>
        </w:rPr>
        <w:t xml:space="preserve">9. Conclusion</w:t>
      </w:r>
    </w:p>
    <w:p>
      <w:pPr>
        <w:spacing w:after="80" w:before="80"/>
      </w:pPr>
      <w:r>
        <w:rPr>
          <w:rFonts w:ascii="Arial" w:cs="Arial" w:eastAsia="Arial" w:hAnsi="Arial"/>
          <w:sz w:val="22"/>
          <w:szCs w:val="22"/>
        </w:rPr>
        <w:t xml:space="preserve">The Superstore dataset reveals a healthy overall business with $2.30M in total sales and $286K in total profit. However, significant profit leakage occurs through aggressive discounting — particularly in the Furniture category. By optimizing discount policies and focusing on high-margin sub-categories like Copiers and Phones, the business can substantially improve profitability without sacrificing revenue volume.</w:t>
      </w:r>
    </w:p>
    <w:p>
      <w:pPr>
        <w:spacing w:after="80" w:before="160"/>
      </w:pPr>
    </w:p>
    <w:p>
      <w:pPr>
        <w:spacing w:after="80" w:before="80"/>
      </w:pPr>
      <w:r>
        <w:rPr>
          <w:rFonts w:ascii="Arial" w:cs="Arial" w:eastAsia="Arial" w:hAnsi="Arial"/>
          <w:i/>
          <w:iCs/>
          <w:color w:val="444444"/>
          <w:sz w:val="22"/>
          <w:szCs w:val="22"/>
        </w:rPr>
        <w:t xml:space="preserve">Technology and Office Supplies should be the growth pillars, while the West and East regions offer the strongest market foundations. The Consumer segment drives volume, while Corporate clients deliver superior margins per transaction.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pPr>
    <w:r>
      <w:rPr>
        <w:rFonts w:ascii="Arial" w:cs="Arial" w:eastAsia="Arial" w:hAnsi="Arial"/>
        <w:color w:val="999999"/>
        <w:sz w:val="18"/>
        <w:szCs w:val="18"/>
      </w:rPr>
      <w:t xml:space="preserve">Data Analyst Internship Task  |  Confidential</w:t>
    </w:r>
    <w:r>
      <w:rPr>
        <w:rFonts w:ascii="Arial" w:cs="Arial" w:eastAsia="Arial" w:hAnsi="Arial"/>
        <w:color w:val="999999"/>
        <w:sz w:val="18"/>
        <w:szCs w:val="18"/>
      </w:rPr>
      <w:t xml:space="preserv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666666"/>
        <w:sz w:val="18"/>
        <w:szCs w:val="18"/>
      </w:rPr>
      <w:t xml:space="preserve">SALES PERFORMANCE ANALYSIS REPORT  |  Superstore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dc30940879f083dbd05ed28b8b48bbd09a81a3.png"/><Relationship Id="rId10" Type="http://schemas.openxmlformats.org/officeDocument/2006/relationships/image" Target="media/5af256d62f1f83dd05a262746c18c09421226494.png"/><Relationship Id="rId11" Type="http://schemas.openxmlformats.org/officeDocument/2006/relationships/image" Target="media/6e538d69ea2a1aee9e5cd448a6d867d04b880487.png"/><Relationship Id="rId12" Type="http://schemas.openxmlformats.org/officeDocument/2006/relationships/image" Target="media/cb755487dc0d647898566ffb927cc48294368aa6.png"/><Relationship Id="rId13" Type="http://schemas.openxmlformats.org/officeDocument/2006/relationships/image" Target="media/503d131eef7f093612cbeed8236a95cf827c028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2026-05-26T15:50:58.766Z</dcterms:created>
  <dcterms:modified xsi:type="dcterms:W3CDTF">2026-05-26T15:50:58.767Z</dcterms:modified>
</cp:coreProperties>
</file>

<file path=docProps/custom.xml><?xml version="1.0" encoding="utf-8"?>
<Properties xmlns="http://schemas.openxmlformats.org/officeDocument/2006/custom-properties" xmlns:vt="http://schemas.openxmlformats.org/officeDocument/2006/docPropsVTypes"/>
</file>