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Assessing the validity of cognitive and reading tests for Russian-speaking adolescents at risk for dyslexia: ROC-curve analysis.</w:t>
      </w:r>
    </w:p>
    <w:p w:rsidR="00000000" w:rsidDel="00000000" w:rsidP="00000000" w:rsidRDefault="00000000" w:rsidRPr="00000000" w14:paraId="00000002">
      <w:pPr>
        <w:pStyle w:val="Heading3"/>
        <w:spacing w:line="480" w:lineRule="auto"/>
        <w:rPr>
          <w:rFonts w:ascii="Times New Roman" w:cs="Times New Roman" w:eastAsia="Times New Roman" w:hAnsi="Times New Roman"/>
          <w:b w:val="1"/>
          <w:bCs w:val="1"/>
          <w:color w:val="000000"/>
          <w:sz w:val="24"/>
          <w:szCs w:val="24"/>
        </w:rPr>
      </w:pPr>
      <w:bookmarkStart w:colFirst="0" w:colLast="0" w:name="_zib7u4twyxy5" w:id="0"/>
      <w:bookmarkEnd w:id="0"/>
      <w:r w:rsidDel="00000000" w:rsidR="00000000" w:rsidRPr="00000000">
        <w:rPr>
          <w:rFonts w:ascii="Times New Roman" w:cs="Times New Roman" w:eastAsia="Times New Roman" w:hAnsi="Times New Roman"/>
          <w:color w:val="000000"/>
          <w:sz w:val="24"/>
          <w:szCs w:val="24"/>
          <w:rtl w:val="0"/>
        </w:rPr>
        <w:t xml:space="preserve">Journal: Annals of Dyslexia.</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3"/>
        <w:spacing w:line="480" w:lineRule="auto"/>
        <w:jc w:val="center"/>
        <w:rPr>
          <w:rFonts w:ascii="Times New Roman" w:cs="Times New Roman" w:eastAsia="Times New Roman" w:hAnsi="Times New Roman"/>
          <w:b w:val="1"/>
          <w:bCs w:val="1"/>
          <w:color w:val="000000"/>
          <w:sz w:val="24"/>
          <w:szCs w:val="24"/>
        </w:rPr>
      </w:pPr>
      <w:bookmarkStart w:colFirst="0" w:colLast="0" w:name="_u9t7utfg0upb" w:id="1"/>
      <w:bookmarkEnd w:id="1"/>
      <w:r w:rsidDel="00000000" w:rsidR="00000000" w:rsidRPr="00000000">
        <w:rPr>
          <w:rFonts w:ascii="Times New Roman" w:cs="Times New Roman" w:eastAsia="Times New Roman" w:hAnsi="Times New Roman"/>
          <w:b w:val="1"/>
          <w:bCs w:val="1"/>
          <w:color w:val="000000"/>
          <w:sz w:val="24"/>
          <w:szCs w:val="24"/>
          <w:rtl w:val="0"/>
        </w:rPr>
        <w:t xml:space="preserve">Additional analysis 1</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additionally fitted five separate binomial logistic regression models, where the status of the participants (TD or D) was a dependent variable and the results on each test and participants’ </w:t>
      </w:r>
      <w:r w:rsidDel="00000000" w:rsidR="00000000" w:rsidRPr="00000000">
        <w:rPr>
          <w:rFonts w:ascii="Times New Roman" w:cs="Times New Roman" w:eastAsia="Times New Roman" w:hAnsi="Times New Roman"/>
          <w:i w:val="1"/>
          <w:iCs w:val="1"/>
          <w:sz w:val="24"/>
          <w:szCs w:val="24"/>
          <w:rtl w:val="0"/>
        </w:rPr>
        <w:t xml:space="preserve">grade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were fixed predictors. We also added participants’ school as a random intercept.</w:t>
      </w:r>
      <w:r w:rsidDel="00000000" w:rsidR="00000000" w:rsidRPr="00000000">
        <w:rPr>
          <w:rFonts w:ascii="Times New Roman" w:cs="Times New Roman" w:eastAsia="Times New Roman" w:hAnsi="Times New Roman"/>
          <w:sz w:val="24"/>
          <w:szCs w:val="24"/>
          <w:rtl w:val="0"/>
        </w:rPr>
        <w:t xml:space="preserve"> Since we wanted to examine the </w:t>
      </w:r>
      <w:r w:rsidDel="00000000" w:rsidR="00000000" w:rsidRPr="00000000">
        <w:rPr>
          <w:rFonts w:ascii="Times New Roman" w:cs="Times New Roman" w:eastAsia="Times New Roman" w:hAnsi="Times New Roman"/>
          <w:sz w:val="24"/>
          <w:szCs w:val="24"/>
          <w:rtl w:val="0"/>
        </w:rPr>
        <w:t xml:space="preserve">effect</w:t>
      </w:r>
      <w:r w:rsidDel="00000000" w:rsidR="00000000" w:rsidRPr="00000000">
        <w:rPr>
          <w:rFonts w:ascii="Times New Roman" w:cs="Times New Roman" w:eastAsia="Times New Roman" w:hAnsi="Times New Roman"/>
          <w:sz w:val="24"/>
          <w:szCs w:val="24"/>
          <w:rtl w:val="0"/>
        </w:rPr>
        <w:t xml:space="preserve"> of each test we built separate models for each test individually as in the initial analysis. The results of this part of the analysis were shown in Table 1. </w:t>
      </w:r>
      <w:r w:rsidDel="00000000" w:rsidR="00000000" w:rsidRPr="00000000">
        <w:rPr>
          <w:rFonts w:ascii="Times New Roman" w:cs="Times New Roman" w:eastAsia="Times New Roman" w:hAnsi="Times New Roman"/>
          <w:sz w:val="24"/>
          <w:szCs w:val="24"/>
          <w:rtl w:val="0"/>
        </w:rPr>
        <w:t xml:space="preserve">The results in </w:t>
      </w:r>
      <w:r w:rsidDel="00000000" w:rsidR="00000000" w:rsidRPr="00000000">
        <w:rPr>
          <w:rFonts w:ascii="Times New Roman" w:cs="Times New Roman" w:eastAsia="Times New Roman" w:hAnsi="Times New Roman"/>
          <w:sz w:val="24"/>
          <w:szCs w:val="24"/>
          <w:rtl w:val="0"/>
        </w:rPr>
        <w:t xml:space="preserve">five</w:t>
      </w:r>
      <w:r w:rsidDel="00000000" w:rsidR="00000000" w:rsidRPr="00000000">
        <w:rPr>
          <w:rFonts w:ascii="Times New Roman" w:cs="Times New Roman" w:eastAsia="Times New Roman" w:hAnsi="Times New Roman"/>
          <w:sz w:val="24"/>
          <w:szCs w:val="24"/>
          <w:rtl w:val="0"/>
        </w:rPr>
        <w:t xml:space="preserve"> chosen tests (except the PVC test) significantly differentiated adolescents with and without reading difficulties.</w:t>
      </w:r>
    </w:p>
    <w:p w:rsidR="00000000" w:rsidDel="00000000" w:rsidP="00000000" w:rsidRDefault="00000000" w:rsidRPr="00000000" w14:paraId="00000005">
      <w:pPr>
        <w:spacing w:line="48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8"/>
          <w:szCs w:val="18"/>
          <w:rtl w:val="0"/>
        </w:rPr>
        <w:t xml:space="preserve">Table 1 The results of the regression analysis for all six models</w:t>
      </w:r>
      <w:r w:rsidDel="00000000" w:rsidR="00000000" w:rsidRPr="00000000">
        <w:rPr>
          <w:rtl w:val="0"/>
        </w:rPr>
      </w:r>
    </w:p>
    <w:tbl>
      <w:tblPr>
        <w:tblStyle w:val="Table1"/>
        <w:tblW w:w="96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15"/>
        <w:gridCol w:w="2745"/>
        <w:gridCol w:w="1335"/>
        <w:gridCol w:w="1626.0000000000014"/>
        <w:gridCol w:w="1253.9999999999986"/>
        <w:gridCol w:w="1140"/>
        <w:tblGridChange w:id="0">
          <w:tblGrid>
            <w:gridCol w:w="1515"/>
            <w:gridCol w:w="2745"/>
            <w:gridCol w:w="1335"/>
            <w:gridCol w:w="1626.0000000000014"/>
            <w:gridCol w:w="1253.9999999999986"/>
            <w:gridCol w:w="1140"/>
          </w:tblGrid>
        </w:tblGridChange>
      </w:tblGrid>
      <w:tr>
        <w:trPr>
          <w:cantSplit w:val="0"/>
          <w:trHeight w:val="570" w:hRule="atLeast"/>
          <w:tblHeader w:val="0"/>
        </w:trPr>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06">
            <w:pPr>
              <w:spacing w:after="20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07">
            <w:pPr>
              <w:spacing w:after="20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Variables</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08">
            <w:pPr>
              <w:spacing w:after="20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Values</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09">
            <w:pPr>
              <w:spacing w:after="20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Standard error</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0A">
            <w:pPr>
              <w:spacing w:after="20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z value</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00B">
            <w:pPr>
              <w:spacing w:after="20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 value</w:t>
            </w:r>
          </w:p>
        </w:tc>
      </w:tr>
      <w:tr>
        <w:trPr>
          <w:cantSplit w:val="0"/>
          <w:trHeight w:val="240" w:hRule="atLeast"/>
          <w:tblHeader w:val="0"/>
        </w:trPr>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Phonological test</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0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-12.63</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6.40</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.049</w:t>
            </w:r>
          </w:p>
        </w:tc>
      </w:tr>
      <w:tr>
        <w:trPr>
          <w:cantSplit w:val="0"/>
          <w:trHeight w:val="22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Grade</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-0.39</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.420</w:t>
            </w:r>
          </w:p>
        </w:tc>
      </w:tr>
      <w:tr>
        <w:trPr>
          <w:cantSplit w:val="0"/>
          <w:trHeight w:val="16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effects</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σ</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3.29</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6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τ</w:t>
            </w:r>
            <w:r w:rsidDel="00000000" w:rsidR="00000000" w:rsidRPr="00000000">
              <w:rPr>
                <w:rFonts w:ascii="Times New Roman" w:cs="Times New Roman" w:eastAsia="Times New Roman" w:hAnsi="Times New Roman"/>
                <w:sz w:val="20"/>
                <w:szCs w:val="20"/>
                <w:vertAlign w:val="subscript"/>
                <w:rtl w:val="0"/>
              </w:rPr>
              <w:t xml:space="preserve">00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vertAlign w:val="subscript"/>
                <w:rtl w:val="0"/>
              </w:rPr>
              <w:t xml:space="preserve">school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22.43</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6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ICC</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6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Fonts w:ascii="Times New Roman" w:cs="Times New Roman" w:eastAsia="Times New Roman" w:hAnsi="Times New Roman"/>
                <w:sz w:val="20"/>
                <w:szCs w:val="20"/>
                <w:vertAlign w:val="subscript"/>
                <w:rtl w:val="0"/>
              </w:rPr>
              <w:t xml:space="preserve">school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6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Observations</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6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Marginal 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 Conditional 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0.059 / 0.880</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6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test</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-3.53</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2.70</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w:t>
            </w:r>
          </w:p>
        </w:tc>
      </w:tr>
      <w:tr>
        <w:trPr>
          <w:cantSplit w:val="0"/>
          <w:trHeight w:val="22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Grade</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-1.07</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.285</w:t>
            </w:r>
          </w:p>
        </w:tc>
      </w:tr>
      <w:tr>
        <w:trPr>
          <w:cantSplit w:val="0"/>
          <w:trHeight w:val="22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effects</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σ</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3.29</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2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τ</w:t>
            </w:r>
            <w:r w:rsidDel="00000000" w:rsidR="00000000" w:rsidRPr="00000000">
              <w:rPr>
                <w:rFonts w:ascii="Times New Roman" w:cs="Times New Roman" w:eastAsia="Times New Roman" w:hAnsi="Times New Roman"/>
                <w:sz w:val="20"/>
                <w:szCs w:val="20"/>
                <w:vertAlign w:val="subscript"/>
                <w:rtl w:val="0"/>
              </w:rPr>
              <w:t xml:space="preserve">00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vertAlign w:val="subscript"/>
                <w:rtl w:val="0"/>
              </w:rPr>
              <w:t xml:space="preserve">school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70.89</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2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ICC</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0.96</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2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Fonts w:ascii="Times New Roman" w:cs="Times New Roman" w:eastAsia="Times New Roman" w:hAnsi="Times New Roman"/>
                <w:sz w:val="20"/>
                <w:szCs w:val="20"/>
                <w:vertAlign w:val="subscript"/>
                <w:rtl w:val="0"/>
              </w:rPr>
              <w:t xml:space="preserve">school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2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Observations</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2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Marginal 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 Conditional 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 / 0.956</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2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Word reading test</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-2.39</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.017</w:t>
            </w:r>
          </w:p>
        </w:tc>
      </w:tr>
      <w:tr>
        <w:trPr>
          <w:cantSplit w:val="0"/>
          <w:trHeight w:val="240"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Grade</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-0.52</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0.46</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-1.15</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.251</w:t>
            </w:r>
          </w:p>
        </w:tc>
      </w:tr>
      <w:tr>
        <w:trPr>
          <w:cantSplit w:val="0"/>
          <w:trHeight w:val="180"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effects</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σ</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3.29</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80"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τ</w:t>
            </w:r>
            <w:r w:rsidDel="00000000" w:rsidR="00000000" w:rsidRPr="00000000">
              <w:rPr>
                <w:rFonts w:ascii="Times New Roman" w:cs="Times New Roman" w:eastAsia="Times New Roman" w:hAnsi="Times New Roman"/>
                <w:sz w:val="20"/>
                <w:szCs w:val="20"/>
                <w:vertAlign w:val="subscript"/>
                <w:rtl w:val="0"/>
              </w:rPr>
              <w:t xml:space="preserve">00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vertAlign w:val="subscript"/>
                <w:rtl w:val="0"/>
              </w:rPr>
              <w:t xml:space="preserve">school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14.38</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80"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ICC</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80"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Fonts w:ascii="Times New Roman" w:cs="Times New Roman" w:eastAsia="Times New Roman" w:hAnsi="Times New Roman"/>
                <w:sz w:val="20"/>
                <w:szCs w:val="20"/>
                <w:vertAlign w:val="subscript"/>
                <w:rtl w:val="0"/>
              </w:rPr>
              <w:t xml:space="preserve">school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80"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Observations</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80"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Marginal 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 Conditional 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0.132 / 0.838</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80"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Pseudoword reading test</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-2.04</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.042</w:t>
            </w:r>
          </w:p>
        </w:tc>
      </w:tr>
      <w:tr>
        <w:trPr>
          <w:cantSplit w:val="0"/>
          <w:trHeight w:val="210"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Grade</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-0.35</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0.45</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-0.78</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.435</w:t>
            </w:r>
          </w:p>
        </w:tc>
      </w:tr>
      <w:tr>
        <w:trPr>
          <w:cantSplit w:val="0"/>
          <w:trHeight w:val="240"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effects</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σ</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3.29</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40"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τ</w:t>
            </w:r>
            <w:r w:rsidDel="00000000" w:rsidR="00000000" w:rsidRPr="00000000">
              <w:rPr>
                <w:rFonts w:ascii="Times New Roman" w:cs="Times New Roman" w:eastAsia="Times New Roman" w:hAnsi="Times New Roman"/>
                <w:sz w:val="20"/>
                <w:szCs w:val="20"/>
                <w:vertAlign w:val="subscript"/>
                <w:rtl w:val="0"/>
              </w:rPr>
              <w:t xml:space="preserve">00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vertAlign w:val="subscript"/>
                <w:rtl w:val="0"/>
              </w:rPr>
              <w:t xml:space="preserve">school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10.05</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40"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ICC</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0.75</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40"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Fonts w:ascii="Times New Roman" w:cs="Times New Roman" w:eastAsia="Times New Roman" w:hAnsi="Times New Roman"/>
                <w:sz w:val="20"/>
                <w:szCs w:val="20"/>
                <w:vertAlign w:val="subscript"/>
                <w:rtl w:val="0"/>
              </w:rPr>
              <w:t xml:space="preserve">school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40"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Observations</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40"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Marginal 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 Conditional 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0.106 / 0.779</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40"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reading test</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-2.59</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.010</w:t>
            </w:r>
          </w:p>
        </w:tc>
      </w:tr>
      <w:tr>
        <w:trPr>
          <w:cantSplit w:val="0"/>
          <w:trHeight w:val="249.00000000000546" w:hRule="atLeast"/>
          <w:tblHeader w:val="0"/>
        </w:trPr>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Grade</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0.43</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-0.58</w:t>
            </w:r>
          </w:p>
        </w:tc>
        <w:tc>
          <w:tcPr>
            <w:tcBorders>
              <w:top w:color="ffffff" w:space="0" w:sz="6" w:val="single"/>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effects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σ</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B">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C">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D">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E">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τ</w:t>
            </w:r>
            <w:r w:rsidDel="00000000" w:rsidR="00000000" w:rsidRPr="00000000">
              <w:rPr>
                <w:rFonts w:ascii="Times New Roman" w:cs="Times New Roman" w:eastAsia="Times New Roman" w:hAnsi="Times New Roman"/>
                <w:sz w:val="20"/>
                <w:szCs w:val="20"/>
                <w:vertAlign w:val="subscript"/>
                <w:rtl w:val="0"/>
              </w:rPr>
              <w:t xml:space="preserve">00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vertAlign w:val="subscript"/>
                <w:rtl w:val="0"/>
              </w:rPr>
              <w:t xml:space="preserve">school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6.86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1">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3">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4">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7">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8">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9">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3.00000000000409"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A">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Fonts w:ascii="Times New Roman" w:cs="Times New Roman" w:eastAsia="Times New Roman" w:hAnsi="Times New Roman"/>
                <w:sz w:val="20"/>
                <w:szCs w:val="20"/>
                <w:vertAlign w:val="subscript"/>
                <w:rtl w:val="0"/>
              </w:rPr>
              <w:t xml:space="preserve">school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E">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F">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0">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Observations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5">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8.99999999999863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6">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Marginal 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 Conditional 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0.211 / 0.744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B">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w:t>
            </w:r>
          </w:p>
        </w:tc>
        <w:tc>
          <w:tcPr>
            <w:tcBorders>
              <w:top w:color="000000" w:space="0" w:sz="0" w:val="nil"/>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comprehension score</w:t>
            </w:r>
          </w:p>
        </w:tc>
        <w:tc>
          <w:tcPr>
            <w:tcBorders>
              <w:top w:color="000000" w:space="0" w:sz="0" w:val="nil"/>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-0.92</w:t>
            </w:r>
          </w:p>
        </w:tc>
        <w:tc>
          <w:tcPr>
            <w:tcBorders>
              <w:top w:color="000000" w:space="0" w:sz="0" w:val="nil"/>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0.38</w:t>
            </w:r>
          </w:p>
        </w:tc>
        <w:tc>
          <w:tcPr>
            <w:tcBorders>
              <w:top w:color="000000" w:space="0" w:sz="0" w:val="nil"/>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-2.40</w:t>
            </w:r>
          </w:p>
        </w:tc>
        <w:tc>
          <w:tcPr>
            <w:tcBorders>
              <w:top w:color="000000" w:space="0" w:sz="0" w:val="nil"/>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.017</w:t>
            </w:r>
          </w:p>
        </w:tc>
      </w:tr>
      <w:tr>
        <w:trPr>
          <w:cantSplit w:val="0"/>
          <w:tblHeader w:val="0"/>
        </w:trPr>
        <w:tc>
          <w:tcPr>
            <w:tcBorders>
              <w:top w:color="000000" w:space="0" w:sz="0" w:val="nil"/>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Grade</w:t>
            </w:r>
          </w:p>
        </w:tc>
        <w:tc>
          <w:tcPr>
            <w:tcBorders>
              <w:top w:color="000000" w:space="0" w:sz="0" w:val="nil"/>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-0.82</w:t>
            </w:r>
          </w:p>
        </w:tc>
        <w:tc>
          <w:tcPr>
            <w:tcBorders>
              <w:top w:color="000000" w:space="0" w:sz="0" w:val="nil"/>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w:t>
            </w:r>
          </w:p>
        </w:tc>
        <w:tc>
          <w:tcPr>
            <w:tcBorders>
              <w:top w:color="000000" w:space="0" w:sz="0" w:val="nil"/>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w:t>
            </w:r>
          </w:p>
        </w:tc>
        <w:tc>
          <w:tcPr>
            <w:tcBorders>
              <w:top w:color="000000" w:space="0" w:sz="0" w:val="nil"/>
              <w:left w:color="ffffff" w:space="0" w:sz="6" w:val="single"/>
              <w:bottom w:color="000000" w:space="0" w:sz="0" w:val="nil"/>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.107</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effects</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σ</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3.29</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τ</w:t>
            </w:r>
            <w:r w:rsidDel="00000000" w:rsidR="00000000" w:rsidRPr="00000000">
              <w:rPr>
                <w:rFonts w:ascii="Times New Roman" w:cs="Times New Roman" w:eastAsia="Times New Roman" w:hAnsi="Times New Roman"/>
                <w:sz w:val="20"/>
                <w:szCs w:val="20"/>
                <w:vertAlign w:val="subscript"/>
                <w:rtl w:val="0"/>
              </w:rPr>
              <w:t xml:space="preserve">00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vertAlign w:val="subscript"/>
                <w:rtl w:val="0"/>
              </w:rPr>
              <w:t xml:space="preserve">school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32.68</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ICC</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Fonts w:ascii="Times New Roman" w:cs="Times New Roman" w:eastAsia="Times New Roman" w:hAnsi="Times New Roman"/>
                <w:sz w:val="20"/>
                <w:szCs w:val="20"/>
                <w:vertAlign w:val="subscript"/>
                <w:rtl w:val="0"/>
              </w:rPr>
              <w:t xml:space="preserve">school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Observations</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45" w:hRule="atLeast"/>
          <w:tblHeader w:val="0"/>
        </w:trPr>
        <w:tc>
          <w:tcPr>
            <w:tcBorders>
              <w:top w:color="ffffff" w:space="0" w:sz="6" w:val="single"/>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Marginal 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 Conditional 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tl w:val="0"/>
              </w:rPr>
            </w:r>
          </w:p>
        </w:tc>
        <w:tc>
          <w:tcPr>
            <w:tcBorders>
              <w:top w:color="ffffff" w:space="0" w:sz="6" w:val="single"/>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0.060 / 0.914</w:t>
            </w:r>
          </w:p>
        </w:tc>
        <w:tc>
          <w:tcPr>
            <w:tcBorders>
              <w:top w:color="ffffff" w:space="0" w:sz="6" w:val="single"/>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6" w:val="single"/>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line="240"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2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Additionally, we built a binomial logistic regression model, where the participants’ status was the dependent variable and their grade was the only fixed predictor (with the participants’ school added as a random intercept). We applied ANOVA to compare this model with the former six models including test results as a fixed predictor. It showed that models M1, M3, M5, M6 were significantly better when the test results were added (</w:t>
      </w: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-value &lt; .05). Hence, we decided to leave test results as fixed predictors in the models for conducting ROC-curve analysis.</w:t>
      </w:r>
    </w:p>
    <w:p w:rsidR="00000000" w:rsidDel="00000000" w:rsidP="00000000" w:rsidRDefault="00000000" w:rsidRPr="00000000" w14:paraId="0000012E">
      <w:pPr>
        <w:pStyle w:val="Heading3"/>
        <w:spacing w:line="480" w:lineRule="auto"/>
        <w:rPr>
          <w:rFonts w:ascii="Times New Roman" w:cs="Times New Roman" w:eastAsia="Times New Roman" w:hAnsi="Times New Roman"/>
          <w:b w:val="1"/>
          <w:bCs w:val="1"/>
          <w:color w:val="000000"/>
          <w:sz w:val="24"/>
          <w:szCs w:val="24"/>
        </w:rPr>
      </w:pPr>
      <w:bookmarkStart w:colFirst="0" w:colLast="0" w:name="_8uxd3ahnp318" w:id="2"/>
      <w:bookmarkEnd w:id="2"/>
      <w:r w:rsidDel="00000000" w:rsidR="00000000" w:rsidRPr="00000000">
        <w:rPr>
          <w:rFonts w:ascii="Times New Roman" w:cs="Times New Roman" w:eastAsia="Times New Roman" w:hAnsi="Times New Roman"/>
          <w:b w:val="1"/>
          <w:bCs w:val="1"/>
          <w:color w:val="000000"/>
          <w:sz w:val="24"/>
          <w:szCs w:val="24"/>
          <w:rtl w:val="0"/>
        </w:rPr>
        <w:t xml:space="preserve">ROC-curve analysis for all tests</w:t>
      </w:r>
    </w:p>
    <w:p w:rsidR="00000000" w:rsidDel="00000000" w:rsidP="00000000" w:rsidRDefault="00000000" w:rsidRPr="00000000" w14:paraId="000001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plotted the ROC-curves for each test that we used in this study, involving the results of the regression analysis reported in Table 1. We also calculated the areas under the curves (AU</w:t>
      </w:r>
      <w:r w:rsidDel="00000000" w:rsidR="00000000" w:rsidRPr="00000000">
        <w:rPr>
          <w:rFonts w:ascii="Times New Roman" w:cs="Times New Roman" w:eastAsia="Times New Roman" w:hAnsi="Times New Roman"/>
          <w:sz w:val="24"/>
          <w:szCs w:val="24"/>
          <w:rtl w:val="0"/>
        </w:rPr>
        <w:t xml:space="preserve">C), which showed the share of correctly differentiated participants (</w:t>
      </w:r>
      <w:r w:rsidDel="00000000" w:rsidR="00000000" w:rsidRPr="00000000">
        <w:rPr>
          <w:rFonts w:ascii="Times New Roman" w:cs="Times New Roman" w:eastAsia="Times New Roman" w:hAnsi="Times New Roman"/>
          <w:sz w:val="24"/>
          <w:szCs w:val="24"/>
          <w:rtl w:val="0"/>
        </w:rPr>
        <w:t xml:space="preserve">see Table 2). The final ROC-curves and the corresponding AUC-indicators were added to the plots on Figure 1. </w:t>
      </w:r>
      <w:r w:rsidDel="00000000" w:rsidR="00000000" w:rsidRPr="00000000">
        <w:rPr>
          <w:rFonts w:ascii="Times New Roman" w:cs="Times New Roman" w:eastAsia="Times New Roman" w:hAnsi="Times New Roman"/>
          <w:sz w:val="24"/>
          <w:szCs w:val="24"/>
          <w:rtl w:val="0"/>
        </w:rPr>
        <w:t xml:space="preserve">All of the models showed high levels of AUC-scores (&gt;0.95).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conclusion was made based on the provided threshold (&gt;0.80) for considering the tests as effective instruments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Çorbacıoğlu &amp; Aksel, 2023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0">
      <w:pPr>
        <w:spacing w:line="480" w:lineRule="auto"/>
        <w:rPr>
          <w:sz w:val="16"/>
          <w:szCs w:val="16"/>
        </w:rPr>
      </w:pPr>
      <w:r w:rsidDel="00000000" w:rsidR="00000000" w:rsidRPr="00000000">
        <w:rPr>
          <w:rFonts w:ascii="Times New Roman" w:cs="Times New Roman" w:eastAsia="Times New Roman" w:hAnsi="Times New Roman"/>
          <w:sz w:val="18"/>
          <w:szCs w:val="18"/>
          <w:rtl w:val="0"/>
        </w:rPr>
        <w:t xml:space="preserve">Table 2 Areas under the curves (AUC) for each binomial regression model </w:t>
      </w:r>
      <w:r w:rsidDel="00000000" w:rsidR="00000000" w:rsidRPr="00000000">
        <w:rPr>
          <w:rtl w:val="0"/>
        </w:rPr>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65.727017241817"/>
        <w:gridCol w:w="3859.784793781807"/>
        <w:tblGridChange w:id="0">
          <w:tblGrid>
            <w:gridCol w:w="5165.727017241817"/>
            <w:gridCol w:w="3859.784793781807"/>
          </w:tblGrid>
        </w:tblGridChange>
      </w:tblGrid>
      <w:tr>
        <w:trPr>
          <w:cantSplit w:val="0"/>
          <w:trHeight w:val="480" w:hRule="atLeast"/>
          <w:tblHeader w:val="0"/>
        </w:trPr>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131">
            <w:pPr>
              <w:spacing w:after="20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132">
            <w:pPr>
              <w:spacing w:after="20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AUC</w:t>
            </w:r>
          </w:p>
        </w:tc>
      </w:tr>
      <w:tr>
        <w:trPr>
          <w:cantSplit w:val="0"/>
          <w:trHeight w:val="210" w:hRule="atLeast"/>
          <w:tblHeader w:val="0"/>
        </w:trPr>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 Phonological test + grade</w:t>
            </w:r>
            <w:r w:rsidDel="00000000" w:rsidR="00000000" w:rsidRPr="00000000">
              <w:rPr>
                <w:rFonts w:ascii="Times New Roman" w:cs="Times New Roman" w:eastAsia="Times New Roman" w:hAnsi="Times New Roman"/>
                <w:sz w:val="20"/>
                <w:szCs w:val="20"/>
                <w:rtl w:val="0"/>
              </w:rPr>
              <w:t xml:space="preserve"> + (1|school)</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0.971</w:t>
            </w:r>
          </w:p>
        </w:tc>
      </w:tr>
      <w:tr>
        <w:trPr>
          <w:cantSplit w:val="0"/>
          <w:trHeight w:val="240"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 Visual test + grade</w:t>
            </w:r>
            <w:r w:rsidDel="00000000" w:rsidR="00000000" w:rsidRPr="00000000">
              <w:rPr>
                <w:rFonts w:ascii="Times New Roman" w:cs="Times New Roman" w:eastAsia="Times New Roman" w:hAnsi="Times New Roman"/>
                <w:sz w:val="20"/>
                <w:szCs w:val="20"/>
                <w:rtl w:val="0"/>
              </w:rPr>
              <w:t xml:space="preserve"> + (1|school)</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0.969</w:t>
            </w:r>
          </w:p>
        </w:tc>
      </w:tr>
      <w:tr>
        <w:trPr>
          <w:cantSplit w:val="0"/>
          <w:trHeight w:val="25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Word reading test + grade</w:t>
            </w:r>
            <w:r w:rsidDel="00000000" w:rsidR="00000000" w:rsidRPr="00000000">
              <w:rPr>
                <w:rFonts w:ascii="Times New Roman" w:cs="Times New Roman" w:eastAsia="Times New Roman" w:hAnsi="Times New Roman"/>
                <w:sz w:val="20"/>
                <w:szCs w:val="20"/>
                <w:rtl w:val="0"/>
              </w:rPr>
              <w:t xml:space="preserve"> + (1|school)</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0.970</w:t>
            </w:r>
          </w:p>
        </w:tc>
      </w:tr>
      <w:tr>
        <w:trPr>
          <w:cantSplit w:val="0"/>
          <w:trHeight w:val="240"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 Pseudoword reading test </w:t>
            </w:r>
            <w:r w:rsidDel="00000000" w:rsidR="00000000" w:rsidRPr="00000000">
              <w:rPr>
                <w:rFonts w:ascii="Times New Roman" w:cs="Times New Roman" w:eastAsia="Times New Roman" w:hAnsi="Times New Roman"/>
                <w:sz w:val="20"/>
                <w:szCs w:val="20"/>
                <w:rtl w:val="0"/>
              </w:rPr>
              <w:t xml:space="preserve">+ grade </w:t>
            </w:r>
            <w:r w:rsidDel="00000000" w:rsidR="00000000" w:rsidRPr="00000000">
              <w:rPr>
                <w:rFonts w:ascii="Times New Roman" w:cs="Times New Roman" w:eastAsia="Times New Roman" w:hAnsi="Times New Roman"/>
                <w:sz w:val="20"/>
                <w:szCs w:val="20"/>
                <w:rtl w:val="0"/>
              </w:rPr>
              <w:t xml:space="preserve">+ (1|school)</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0.954</w:t>
            </w:r>
          </w:p>
        </w:tc>
      </w:tr>
      <w:tr>
        <w:trPr>
          <w:cantSplit w:val="0"/>
          <w:trHeight w:val="240"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 Text reading test + grade</w:t>
            </w:r>
            <w:r w:rsidDel="00000000" w:rsidR="00000000" w:rsidRPr="00000000">
              <w:rPr>
                <w:rFonts w:ascii="Times New Roman" w:cs="Times New Roman" w:eastAsia="Times New Roman" w:hAnsi="Times New Roman"/>
                <w:sz w:val="20"/>
                <w:szCs w:val="20"/>
                <w:rtl w:val="0"/>
              </w:rPr>
              <w:t xml:space="preserve"> + (1|school)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0.959</w:t>
            </w:r>
          </w:p>
        </w:tc>
      </w:tr>
      <w:tr>
        <w:trPr>
          <w:cantSplit w:val="0"/>
          <w:trHeight w:val="195" w:hRule="atLeast"/>
          <w:tblHeader w:val="0"/>
        </w:trPr>
        <w:tc>
          <w:tcPr>
            <w:tcBorders>
              <w:top w:color="ffffff" w:space="0" w:sz="6" w:val="single"/>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 Text comprehension score + grade</w:t>
            </w:r>
            <w:r w:rsidDel="00000000" w:rsidR="00000000" w:rsidRPr="00000000">
              <w:rPr>
                <w:rFonts w:ascii="Times New Roman" w:cs="Times New Roman" w:eastAsia="Times New Roman" w:hAnsi="Times New Roman"/>
                <w:sz w:val="20"/>
                <w:szCs w:val="20"/>
                <w:rtl w:val="0"/>
              </w:rPr>
              <w:t xml:space="preserve"> + (1|school)</w:t>
            </w:r>
          </w:p>
        </w:tc>
        <w:tc>
          <w:tcPr>
            <w:tcBorders>
              <w:top w:color="ffffff" w:space="0" w:sz="6" w:val="single"/>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0.989</w:t>
            </w:r>
          </w:p>
        </w:tc>
      </w:tr>
    </w:tbl>
    <w:p w:rsidR="00000000" w:rsidDel="00000000" w:rsidP="00000000" w:rsidRDefault="00000000" w:rsidRPr="00000000" w14:paraId="0000013F">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Fig. 1 ROC-curves for each test in the study</w:t>
      </w:r>
      <w:r w:rsidDel="00000000" w:rsidR="00000000" w:rsidRPr="00000000">
        <w:rPr>
          <w:rtl w:val="0"/>
        </w:rPr>
      </w:r>
    </w:p>
    <w:p w:rsidR="00000000" w:rsidDel="00000000" w:rsidP="00000000" w:rsidRDefault="00000000" w:rsidRPr="00000000" w14:paraId="00000141">
      <w:pPr>
        <w:spacing w:line="480" w:lineRule="auto"/>
        <w:ind w:left="-1275.5905511811022" w:right="-1316.4566929133848"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6853238" cy="687600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53238" cy="6876006"/>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line="480" w:lineRule="auto"/>
        <w:ind w:left="-1275.5905511811022" w:right="-1316.4566929133848"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1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we investigated at what level the chosen tests were able to identify participants with and without reading difficulties. To do this, we used the true positive, false negative, true negative, and false positive rates of each model to calculate the sensitivity and specificity scores for each test. The results are presented in Table 3. </w:t>
      </w:r>
      <w:r w:rsidDel="00000000" w:rsidR="00000000" w:rsidRPr="00000000">
        <w:rPr>
          <w:rFonts w:ascii="Times New Roman" w:cs="Times New Roman" w:eastAsia="Times New Roman" w:hAnsi="Times New Roman"/>
          <w:sz w:val="24"/>
          <w:szCs w:val="24"/>
          <w:rtl w:val="0"/>
        </w:rPr>
        <w:t xml:space="preserve">We found that the PVC test was the most accurate in identifying the TD adolescents (specificity score = .97), other tests showed the same high level of specificity (specificity score = .95).</w:t>
      </w:r>
      <w:r w:rsidDel="00000000" w:rsidR="00000000" w:rsidRPr="00000000">
        <w:rPr>
          <w:rFonts w:ascii="Times New Roman" w:cs="Times New Roman" w:eastAsia="Times New Roman" w:hAnsi="Times New Roman"/>
          <w:sz w:val="24"/>
          <w:szCs w:val="24"/>
          <w:rtl w:val="0"/>
        </w:rPr>
        <w:t xml:space="preserve"> This part of the analysis also showed that the best instruments for defining adolescents with reading difficulties were </w:t>
      </w:r>
      <w:r w:rsidDel="00000000" w:rsidR="00000000" w:rsidRPr="00000000">
        <w:rPr>
          <w:rFonts w:ascii="Times New Roman" w:cs="Times New Roman" w:eastAsia="Times New Roman" w:hAnsi="Times New Roman"/>
          <w:sz w:val="24"/>
          <w:szCs w:val="24"/>
          <w:rtl w:val="0"/>
        </w:rPr>
        <w:t xml:space="preserve">the CSP, word, pseudoword and text reading tests (sensitivity score = 1.00). The least sensitive was the PVC test (sensitivity score = .93).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spacing w:line="48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8"/>
          <w:szCs w:val="18"/>
          <w:rtl w:val="0"/>
        </w:rPr>
        <w:t xml:space="preserve">Table 3 The indicators from the confusion matrices for all six models</w:t>
      </w:r>
      <w:r w:rsidDel="00000000" w:rsidR="00000000" w:rsidRPr="00000000">
        <w:rPr>
          <w:rtl w:val="0"/>
        </w:rPr>
      </w:r>
    </w:p>
    <w:tbl>
      <w:tblPr>
        <w:tblStyle w:val="Table3"/>
        <w:tblW w:w="9741.0" w:type="dxa"/>
        <w:jc w:val="left"/>
        <w:tblInd w:w="-69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71"/>
        <w:gridCol w:w="1095"/>
        <w:gridCol w:w="1335"/>
        <w:gridCol w:w="1110"/>
        <w:gridCol w:w="1110"/>
        <w:gridCol w:w="1110"/>
        <w:gridCol w:w="1410"/>
        <w:tblGridChange w:id="0">
          <w:tblGrid>
            <w:gridCol w:w="2571"/>
            <w:gridCol w:w="1095"/>
            <w:gridCol w:w="1335"/>
            <w:gridCol w:w="1110"/>
            <w:gridCol w:w="1110"/>
            <w:gridCol w:w="1110"/>
            <w:gridCol w:w="1410"/>
          </w:tblGrid>
        </w:tblGridChange>
      </w:tblGrid>
      <w:tr>
        <w:trPr>
          <w:cantSplit w:val="0"/>
          <w:trHeight w:val="600" w:hRule="atLeast"/>
          <w:tblHeader w:val="0"/>
        </w:trPr>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145">
            <w:pPr>
              <w:spacing w:after="20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Models</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146">
            <w:pPr>
              <w:spacing w:after="20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True positive</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147">
            <w:pPr>
              <w:spacing w:after="20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False negative</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148">
            <w:pPr>
              <w:spacing w:after="20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True negative</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149">
            <w:pPr>
              <w:spacing w:after="20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False positive</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14A">
            <w:pPr>
              <w:spacing w:after="20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4B">
            <w:pPr>
              <w:spacing w:after="20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Sensitivity</w:t>
            </w:r>
          </w:p>
        </w:tc>
        <w:tc>
          <w:tcPr>
            <w:tcBorders>
              <w:top w:color="000000" w:space="0" w:sz="8" w:val="single"/>
              <w:left w:color="ffffff" w:space="0" w:sz="6" w:val="single"/>
              <w:bottom w:color="000000" w:space="0" w:sz="8" w:val="single"/>
              <w:right w:color="ffffff" w:space="0" w:sz="6" w:val="single"/>
            </w:tcBorders>
            <w:tcMar>
              <w:top w:w="0.0" w:type="dxa"/>
              <w:left w:w="100.0" w:type="dxa"/>
              <w:bottom w:w="0.0" w:type="dxa"/>
              <w:right w:w="100.0" w:type="dxa"/>
            </w:tcMar>
            <w:vAlign w:val="bottom"/>
          </w:tcPr>
          <w:p w:rsidR="00000000" w:rsidDel="00000000" w:rsidP="00000000" w:rsidRDefault="00000000" w:rsidRPr="00000000" w14:paraId="0000014C">
            <w:pPr>
              <w:spacing w:after="20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Specificity</w:t>
            </w:r>
          </w:p>
        </w:tc>
      </w:tr>
      <w:tr>
        <w:trPr>
          <w:cantSplit w:val="0"/>
          <w:trHeight w:val="480" w:hRule="atLeast"/>
          <w:tblHeader w:val="0"/>
        </w:trPr>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 Phonological test + grade</w:t>
            </w:r>
            <w:r w:rsidDel="00000000" w:rsidR="00000000" w:rsidRPr="00000000">
              <w:rPr>
                <w:rFonts w:ascii="Times New Roman" w:cs="Times New Roman" w:eastAsia="Times New Roman" w:hAnsi="Times New Roman"/>
                <w:sz w:val="20"/>
                <w:szCs w:val="20"/>
                <w:rtl w:val="0"/>
              </w:rPr>
              <w:t xml:space="preserve"> + (1|school)</w:t>
            </w:r>
            <w:r w:rsidDel="00000000" w:rsidR="00000000" w:rsidRPr="00000000">
              <w:rPr>
                <w:rFonts w:ascii="Times New Roman" w:cs="Times New Roman" w:eastAsia="Times New Roman" w:hAnsi="Times New Roman"/>
                <w:sz w:val="20"/>
                <w:szCs w:val="20"/>
                <w:rtl w:val="0"/>
              </w:rPr>
              <w:t xml:space="preserve"> </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w:t>
            </w:r>
          </w:p>
        </w:tc>
      </w:tr>
      <w:tr>
        <w:trPr>
          <w:cantSplit w:val="0"/>
          <w:trHeight w:val="46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 Visual test + grade</w:t>
            </w:r>
            <w:r w:rsidDel="00000000" w:rsidR="00000000" w:rsidRPr="00000000">
              <w:rPr>
                <w:rFonts w:ascii="Times New Roman" w:cs="Times New Roman" w:eastAsia="Times New Roman" w:hAnsi="Times New Roman"/>
                <w:sz w:val="20"/>
                <w:szCs w:val="20"/>
                <w:rtl w:val="0"/>
              </w:rPr>
              <w:t xml:space="preserve"> + (1|school)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0.93</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w:t>
            </w:r>
          </w:p>
        </w:tc>
      </w:tr>
      <w:tr>
        <w:trPr>
          <w:cantSplit w:val="0"/>
          <w:trHeight w:val="46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Word reading test + grade</w:t>
            </w:r>
            <w:r w:rsidDel="00000000" w:rsidR="00000000" w:rsidRPr="00000000">
              <w:rPr>
                <w:rFonts w:ascii="Times New Roman" w:cs="Times New Roman" w:eastAsia="Times New Roman" w:hAnsi="Times New Roman"/>
                <w:sz w:val="20"/>
                <w:szCs w:val="20"/>
                <w:rtl w:val="0"/>
              </w:rPr>
              <w:t xml:space="preserve"> + (1|school)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w:t>
            </w:r>
          </w:p>
        </w:tc>
      </w:tr>
      <w:tr>
        <w:trPr>
          <w:cantSplit w:val="0"/>
          <w:trHeight w:val="46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 Pseudoword reading test + grade</w:t>
            </w:r>
            <w:r w:rsidDel="00000000" w:rsidR="00000000" w:rsidRPr="00000000">
              <w:rPr>
                <w:rFonts w:ascii="Times New Roman" w:cs="Times New Roman" w:eastAsia="Times New Roman" w:hAnsi="Times New Roman"/>
                <w:sz w:val="20"/>
                <w:szCs w:val="20"/>
                <w:rtl w:val="0"/>
              </w:rPr>
              <w:t xml:space="preserve"> + (1|school)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w:t>
            </w:r>
          </w:p>
        </w:tc>
      </w:tr>
      <w:tr>
        <w:trPr>
          <w:cantSplit w:val="0"/>
          <w:trHeight w:val="465" w:hRule="atLeast"/>
          <w:tblHeader w:val="0"/>
        </w:trPr>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 Text reading test + grade</w:t>
            </w:r>
            <w:r w:rsidDel="00000000" w:rsidR="00000000" w:rsidRPr="00000000">
              <w:rPr>
                <w:rFonts w:ascii="Times New Roman" w:cs="Times New Roman" w:eastAsia="Times New Roman" w:hAnsi="Times New Roman"/>
                <w:sz w:val="20"/>
                <w:szCs w:val="20"/>
                <w:rtl w:val="0"/>
              </w:rPr>
              <w:t xml:space="preserve"> + (1|school)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w:t>
            </w:r>
          </w:p>
        </w:tc>
        <w:tc>
          <w:tcPr>
            <w:tcBorders>
              <w:top w:color="ffffff" w:space="0" w:sz="6" w:val="single"/>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left w:color="ffffff" w:space="0" w:sz="6" w:val="single"/>
              <w:bottom w:color="ffffff"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w:t>
            </w:r>
          </w:p>
        </w:tc>
      </w:tr>
      <w:tr>
        <w:trPr>
          <w:cantSplit w:val="0"/>
          <w:trHeight w:val="480" w:hRule="atLeast"/>
          <w:tblHeader w:val="0"/>
        </w:trPr>
        <w:tc>
          <w:tcPr>
            <w:tcBorders>
              <w:top w:color="ffffff" w:space="0" w:sz="6" w:val="single"/>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 Text comprehension score + grade</w:t>
            </w:r>
            <w:r w:rsidDel="00000000" w:rsidR="00000000" w:rsidRPr="00000000">
              <w:rPr>
                <w:rFonts w:ascii="Times New Roman" w:cs="Times New Roman" w:eastAsia="Times New Roman" w:hAnsi="Times New Roman"/>
                <w:sz w:val="20"/>
                <w:szCs w:val="20"/>
                <w:rtl w:val="0"/>
              </w:rPr>
              <w:t xml:space="preserve"> + (1|school)</w:t>
            </w:r>
            <w:r w:rsidDel="00000000" w:rsidR="00000000" w:rsidRPr="00000000">
              <w:rPr>
                <w:rtl w:val="0"/>
              </w:rPr>
            </w:r>
          </w:p>
        </w:tc>
        <w:tc>
          <w:tcPr>
            <w:tcBorders>
              <w:top w:color="ffffff" w:space="0" w:sz="6" w:val="single"/>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ffffff" w:space="0" w:sz="6" w:val="single"/>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ffffff" w:space="0" w:sz="6" w:val="single"/>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97</w:t>
            </w:r>
          </w:p>
        </w:tc>
        <w:tc>
          <w:tcPr>
            <w:tcBorders>
              <w:top w:color="ffffff" w:space="0" w:sz="6" w:val="single"/>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ffffff" w:space="0" w:sz="6" w:val="single"/>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0.96</w:t>
            </w:r>
          </w:p>
        </w:tc>
        <w:tc>
          <w:tcPr>
            <w:tcBorders>
              <w:top w:color="ffffff" w:space="0" w:sz="6" w:val="single"/>
              <w:left w:color="ffffff" w:space="0" w:sz="6" w:val="single"/>
              <w:bottom w:color="000000" w:space="0" w:sz="8"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w:t>
            </w:r>
          </w:p>
        </w:tc>
      </w:tr>
    </w:tbl>
    <w:p w:rsidR="00000000" w:rsidDel="00000000" w:rsidP="00000000" w:rsidRDefault="00000000" w:rsidRPr="00000000" w14:paraId="00000177">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