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Assessing the validity of cognitive and reading tests for Russian-speaking adolescents at risk for dyslexia: ROC-curve analysis.</w:t>
      </w:r>
    </w:p>
    <w:p w:rsidR="00000000" w:rsidDel="00000000" w:rsidP="00000000" w:rsidRDefault="00000000" w:rsidRPr="00000000" w14:paraId="00000002">
      <w:pPr>
        <w:pStyle w:val="Heading3"/>
        <w:spacing w:line="480" w:lineRule="auto"/>
        <w:rPr>
          <w:rFonts w:ascii="Times New Roman" w:cs="Times New Roman" w:eastAsia="Times New Roman" w:hAnsi="Times New Roman"/>
          <w:color w:val="000000"/>
          <w:sz w:val="24"/>
          <w:szCs w:val="24"/>
        </w:rPr>
      </w:pPr>
      <w:bookmarkStart w:colFirst="0" w:colLast="0" w:name="_49agm473hecm" w:id="0"/>
      <w:bookmarkEnd w:id="0"/>
      <w:r w:rsidDel="00000000" w:rsidR="00000000" w:rsidRPr="00000000">
        <w:rPr>
          <w:rFonts w:ascii="Times New Roman" w:cs="Times New Roman" w:eastAsia="Times New Roman" w:hAnsi="Times New Roman"/>
          <w:color w:val="000000"/>
          <w:sz w:val="24"/>
          <w:szCs w:val="24"/>
          <w:rtl w:val="0"/>
        </w:rPr>
        <w:t xml:space="preserve">Journal: Annals of Dyslexia.</w:t>
      </w: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3"/>
        <w:spacing w:line="480" w:lineRule="auto"/>
        <w:jc w:val="center"/>
        <w:rPr>
          <w:rFonts w:ascii="Times New Roman" w:cs="Times New Roman" w:eastAsia="Times New Roman" w:hAnsi="Times New Roman"/>
          <w:b w:val="1"/>
          <w:bCs w:val="1"/>
          <w:sz w:val="24"/>
          <w:szCs w:val="24"/>
        </w:rPr>
      </w:pPr>
      <w:bookmarkStart w:colFirst="0" w:colLast="0" w:name="_jcmb9ah4rkoz" w:id="1"/>
      <w:bookmarkEnd w:id="1"/>
      <w:r w:rsidDel="00000000" w:rsidR="00000000" w:rsidRPr="00000000">
        <w:rPr>
          <w:rFonts w:ascii="Times New Roman" w:cs="Times New Roman" w:eastAsia="Times New Roman" w:hAnsi="Times New Roman"/>
          <w:b w:val="1"/>
          <w:bCs w:val="1"/>
          <w:sz w:val="24"/>
          <w:szCs w:val="24"/>
          <w:rtl w:val="0"/>
        </w:rPr>
        <w:t xml:space="preserve">Additional analysis 2</w:t>
      </w:r>
    </w:p>
    <w:p w:rsidR="00000000" w:rsidDel="00000000" w:rsidP="00000000" w:rsidRDefault="00000000" w:rsidRPr="00000000" w14:paraId="00000004">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Analysis on the whole sample (without filtering based on the nonverbal IQ level)</w:t>
      </w:r>
    </w:p>
    <w:p w:rsidR="00000000" w:rsidDel="00000000" w:rsidP="00000000" w:rsidRDefault="00000000" w:rsidRPr="00000000" w14:paraId="00000005">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we applied another method for evaluating participants’ risk for reading difficulties. We used the results on the lexical decision task, calculated normative scores and applied them to our sample. Those participants, who scored below 10% percentile in the lexical decision task, received the “dys” status, which indicated possible reading difficulties. Other participants were assigned with the “norm” status, which indicated typically developing participants.</w:t>
      </w:r>
    </w:p>
    <w:p w:rsidR="00000000" w:rsidDel="00000000" w:rsidP="00000000" w:rsidRDefault="00000000" w:rsidRPr="00000000" w14:paraId="0000000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Therefore, we included the participants with the “dys” status in the D group and the participants with the “norm” status – in the TD group. The D group included the results of 31 participants (8 girls, 23 boys, Mean(age) = 15.45, SD = 1.09, range = 14–18). The TD group included the results of 66 participants (31 girls, 35 boys, Mean(age) = 15.73, SD = 1.25, range = 14–18). </w:t>
      </w:r>
    </w:p>
    <w:p w:rsidR="00000000" w:rsidDel="00000000" w:rsidP="00000000" w:rsidRDefault="00000000" w:rsidRPr="00000000" w14:paraId="0000000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We calculated six binomial logistic regression models, where the participants’ status (TD/D) was used as a dependent variable, and the results in the six testing instruments were used as separate predictors. Here, we excluded the effect of the participants’ grade prior to conducting the regression analysis (as we did in the first version of the analysis). After controlling for the grade effect, we used the residuals as predictors in all six regression models.</w:t>
      </w:r>
      <w:r w:rsidDel="00000000" w:rsidR="00000000" w:rsidRPr="00000000">
        <w:rPr>
          <w:rtl w:val="0"/>
        </w:rPr>
      </w:r>
    </w:p>
    <w:p w:rsidR="00000000" w:rsidDel="00000000" w:rsidP="00000000" w:rsidRDefault="00000000" w:rsidRPr="00000000" w14:paraId="00000008">
      <w:pPr>
        <w:spacing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Table 1 The results of the regression analysis for all six models</w:t>
      </w:r>
      <w:r w:rsidDel="00000000" w:rsidR="00000000" w:rsidRPr="00000000">
        <w:rPr>
          <w:rtl w:val="0"/>
        </w:rPr>
      </w:r>
    </w:p>
    <w:tbl>
      <w:tblPr>
        <w:tblStyle w:val="Table1"/>
        <w:tblW w:w="90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35"/>
        <w:gridCol w:w="2430"/>
        <w:gridCol w:w="1320"/>
        <w:gridCol w:w="1575"/>
        <w:gridCol w:w="1335"/>
        <w:gridCol w:w="1335"/>
        <w:tblGridChange w:id="0">
          <w:tblGrid>
            <w:gridCol w:w="1035"/>
            <w:gridCol w:w="2430"/>
            <w:gridCol w:w="1320"/>
            <w:gridCol w:w="1575"/>
            <w:gridCol w:w="1335"/>
            <w:gridCol w:w="1335"/>
          </w:tblGrid>
        </w:tblGridChange>
      </w:tblGrid>
      <w:tr>
        <w:trPr>
          <w:cantSplit w:val="0"/>
          <w:trHeight w:val="570" w:hRule="atLeast"/>
          <w:tblHeader w:val="0"/>
        </w:trPr>
        <w:tc>
          <w:tcPr>
            <w:tcBorders>
              <w:top w:color="000000" w:space="0" w:sz="8" w:val="single"/>
              <w:left w:color="ffffff" w:space="0" w:sz="6" w:val="single"/>
              <w:bottom w:color="000000" w:space="0" w:sz="8" w:val="single"/>
              <w:right w:color="ffffff" w:space="0" w:sz="6" w:val="single"/>
            </w:tcBorders>
            <w:tcMar>
              <w:top w:w="0.0" w:type="dxa"/>
              <w:left w:w="100.0" w:type="dxa"/>
              <w:bottom w:w="0.0" w:type="dxa"/>
              <w:right w:w="100.0" w:type="dxa"/>
            </w:tcMar>
            <w:vAlign w:val="bottom"/>
          </w:tcPr>
          <w:p w:rsidR="00000000" w:rsidDel="00000000" w:rsidP="00000000" w:rsidRDefault="00000000" w:rsidRPr="00000000" w14:paraId="00000009">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w:t>
            </w:r>
          </w:p>
        </w:tc>
        <w:tc>
          <w:tcPr>
            <w:tcBorders>
              <w:top w:color="000000" w:space="0" w:sz="8" w:val="single"/>
              <w:left w:color="ffffff" w:space="0" w:sz="6" w:val="single"/>
              <w:bottom w:color="000000" w:space="0" w:sz="8" w:val="single"/>
              <w:right w:color="ffffff" w:space="0" w:sz="6" w:val="single"/>
            </w:tcBorders>
            <w:tcMar>
              <w:top w:w="0.0" w:type="dxa"/>
              <w:left w:w="100.0" w:type="dxa"/>
              <w:bottom w:w="0.0" w:type="dxa"/>
              <w:right w:w="100.0" w:type="dxa"/>
            </w:tcMar>
            <w:vAlign w:val="bottom"/>
          </w:tcPr>
          <w:p w:rsidR="00000000" w:rsidDel="00000000" w:rsidP="00000000" w:rsidRDefault="00000000" w:rsidRPr="00000000" w14:paraId="0000000A">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Variables</w:t>
            </w:r>
          </w:p>
        </w:tc>
        <w:tc>
          <w:tcPr>
            <w:tcBorders>
              <w:top w:color="000000" w:space="0" w:sz="8" w:val="single"/>
              <w:left w:color="ffffff" w:space="0" w:sz="6" w:val="single"/>
              <w:bottom w:color="000000" w:space="0" w:sz="8" w:val="single"/>
              <w:right w:color="ffffff" w:space="0" w:sz="6" w:val="single"/>
            </w:tcBorders>
            <w:tcMar>
              <w:top w:w="0.0" w:type="dxa"/>
              <w:left w:w="100.0" w:type="dxa"/>
              <w:bottom w:w="0.0" w:type="dxa"/>
              <w:right w:w="100.0" w:type="dxa"/>
            </w:tcMar>
            <w:vAlign w:val="bottom"/>
          </w:tcPr>
          <w:p w:rsidR="00000000" w:rsidDel="00000000" w:rsidP="00000000" w:rsidRDefault="00000000" w:rsidRPr="00000000" w14:paraId="0000000B">
            <w:pPr>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Values</w:t>
            </w:r>
          </w:p>
        </w:tc>
        <w:tc>
          <w:tcPr>
            <w:tcBorders>
              <w:top w:color="000000" w:space="0" w:sz="8" w:val="single"/>
              <w:left w:color="ffffff" w:space="0" w:sz="6" w:val="single"/>
              <w:bottom w:color="000000" w:space="0" w:sz="8" w:val="single"/>
              <w:right w:color="ffffff" w:space="0" w:sz="6" w:val="single"/>
            </w:tcBorders>
            <w:tcMar>
              <w:top w:w="0.0" w:type="dxa"/>
              <w:left w:w="100.0" w:type="dxa"/>
              <w:bottom w:w="0.0" w:type="dxa"/>
              <w:right w:w="100.0" w:type="dxa"/>
            </w:tcMar>
            <w:vAlign w:val="bottom"/>
          </w:tcPr>
          <w:p w:rsidR="00000000" w:rsidDel="00000000" w:rsidP="00000000" w:rsidRDefault="00000000" w:rsidRPr="00000000" w14:paraId="0000000C">
            <w:pPr>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Standard error</w:t>
            </w:r>
          </w:p>
        </w:tc>
        <w:tc>
          <w:tcPr>
            <w:tcBorders>
              <w:top w:color="000000" w:space="0" w:sz="8" w:val="single"/>
              <w:left w:color="ffffff" w:space="0" w:sz="6" w:val="single"/>
              <w:bottom w:color="000000" w:space="0" w:sz="8" w:val="single"/>
              <w:right w:color="ffffff" w:space="0" w:sz="6" w:val="single"/>
            </w:tcBorders>
            <w:tcMar>
              <w:top w:w="0.0" w:type="dxa"/>
              <w:left w:w="100.0" w:type="dxa"/>
              <w:bottom w:w="0.0" w:type="dxa"/>
              <w:right w:w="100.0" w:type="dxa"/>
            </w:tcMar>
            <w:vAlign w:val="bottom"/>
          </w:tcPr>
          <w:p w:rsidR="00000000" w:rsidDel="00000000" w:rsidP="00000000" w:rsidRDefault="00000000" w:rsidRPr="00000000" w14:paraId="0000000D">
            <w:pPr>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 value</w:t>
            </w:r>
          </w:p>
        </w:tc>
        <w:tc>
          <w:tcPr>
            <w:tcBorders>
              <w:top w:color="000000" w:space="0" w:sz="8" w:val="single"/>
              <w:left w:color="ffffff" w:space="0" w:sz="6" w:val="single"/>
              <w:bottom w:color="000000" w:space="0" w:sz="8" w:val="single"/>
              <w:right w:color="ffffff" w:space="0" w:sz="6" w:val="single"/>
            </w:tcBorders>
            <w:tcMar>
              <w:top w:w="0.0" w:type="dxa"/>
              <w:left w:w="100.0" w:type="dxa"/>
              <w:bottom w:w="0.0" w:type="dxa"/>
              <w:right w:w="100.0" w:type="dxa"/>
            </w:tcMar>
            <w:vAlign w:val="bottom"/>
          </w:tcPr>
          <w:p w:rsidR="00000000" w:rsidDel="00000000" w:rsidP="00000000" w:rsidRDefault="00000000" w:rsidRPr="00000000" w14:paraId="0000000E">
            <w:pPr>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 value</w:t>
            </w:r>
          </w:p>
        </w:tc>
      </w:tr>
      <w:tr>
        <w:trPr>
          <w:cantSplit w:val="0"/>
          <w:trHeight w:val="240" w:hRule="atLeast"/>
          <w:tblHeader w:val="0"/>
        </w:trPr>
        <w:tc>
          <w:tcPr>
            <w:tcBorders>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0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M1</w:t>
            </w:r>
          </w:p>
        </w:tc>
        <w:tc>
          <w:tcPr>
            <w:tcBorders>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1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Phonological test</w:t>
            </w:r>
          </w:p>
        </w:tc>
        <w:tc>
          <w:tcPr>
            <w:tcBorders>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1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-5.72</w:t>
            </w:r>
          </w:p>
        </w:tc>
        <w:tc>
          <w:tcPr>
            <w:tcBorders>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1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1.77</w:t>
            </w:r>
          </w:p>
        </w:tc>
        <w:tc>
          <w:tcPr>
            <w:tcBorders>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1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-3.24</w:t>
            </w:r>
          </w:p>
        </w:tc>
        <w:tc>
          <w:tcPr>
            <w:tcBorders>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14">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.001</w:t>
            </w:r>
          </w:p>
        </w:tc>
      </w:tr>
      <w:tr>
        <w:trPr>
          <w:cantSplit w:val="0"/>
          <w:trHeight w:val="165" w:hRule="atLeast"/>
          <w:tblHeader w:val="0"/>
        </w:trPr>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1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M2</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1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 test</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1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-0.72</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1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1.22</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19">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-0.59</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1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.557</w:t>
            </w:r>
          </w:p>
        </w:tc>
      </w:tr>
      <w:tr>
        <w:trPr>
          <w:cantSplit w:val="0"/>
          <w:trHeight w:val="225" w:hRule="atLeast"/>
          <w:tblHeader w:val="0"/>
        </w:trPr>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1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1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Words reading test</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1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-0.06</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1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1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-3.87</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20">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 .001</w:t>
            </w:r>
          </w:p>
        </w:tc>
      </w:tr>
      <w:tr>
        <w:trPr>
          <w:cantSplit w:val="0"/>
          <w:trHeight w:val="180" w:hRule="atLeast"/>
          <w:tblHeader w:val="0"/>
        </w:trPr>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2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M4</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2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Pseudowords reading test</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2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-0.06</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2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2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-3.29</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26">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.001</w:t>
            </w:r>
          </w:p>
        </w:tc>
      </w:tr>
      <w:tr>
        <w:trPr>
          <w:cantSplit w:val="0"/>
          <w:trHeight w:val="195" w:hRule="atLeast"/>
          <w:tblHeader w:val="0"/>
        </w:trPr>
        <w:tc>
          <w:tcPr>
            <w:tcBorders>
              <w:top w:color="ffffff" w:space="0" w:sz="6" w:val="single"/>
              <w:left w:color="ffffff" w:space="0" w:sz="6" w:val="single"/>
              <w:bottom w:color="000000" w:space="0" w:sz="0" w:val="nil"/>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2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M5</w:t>
            </w:r>
          </w:p>
        </w:tc>
        <w:tc>
          <w:tcPr>
            <w:tcBorders>
              <w:top w:color="ffffff" w:space="0" w:sz="6" w:val="single"/>
              <w:left w:color="ffffff" w:space="0" w:sz="6" w:val="single"/>
              <w:bottom w:color="000000" w:space="0" w:sz="0" w:val="nil"/>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2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 reading test</w:t>
            </w:r>
          </w:p>
        </w:tc>
        <w:tc>
          <w:tcPr>
            <w:tcBorders>
              <w:top w:color="ffffff" w:space="0" w:sz="6" w:val="single"/>
              <w:left w:color="ffffff" w:space="0" w:sz="6" w:val="single"/>
              <w:bottom w:color="000000" w:space="0" w:sz="0" w:val="nil"/>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29">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-0.03</w:t>
            </w:r>
          </w:p>
        </w:tc>
        <w:tc>
          <w:tcPr>
            <w:tcBorders>
              <w:top w:color="ffffff" w:space="0" w:sz="6" w:val="single"/>
              <w:left w:color="ffffff" w:space="0" w:sz="6" w:val="single"/>
              <w:bottom w:color="000000" w:space="0" w:sz="0" w:val="nil"/>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2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w:t>
            </w:r>
          </w:p>
        </w:tc>
        <w:tc>
          <w:tcPr>
            <w:tcBorders>
              <w:top w:color="ffffff" w:space="0" w:sz="6" w:val="single"/>
              <w:left w:color="ffffff" w:space="0" w:sz="6" w:val="single"/>
              <w:bottom w:color="000000" w:space="0" w:sz="0" w:val="nil"/>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2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-3.45</w:t>
            </w:r>
          </w:p>
        </w:tc>
        <w:tc>
          <w:tcPr>
            <w:tcBorders>
              <w:top w:color="ffffff" w:space="0" w:sz="6" w:val="single"/>
              <w:left w:color="ffffff" w:space="0" w:sz="6" w:val="single"/>
              <w:bottom w:color="000000" w:space="0" w:sz="0" w:val="nil"/>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2C">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 .001</w:t>
            </w:r>
          </w:p>
        </w:tc>
      </w:tr>
      <w:tr>
        <w:trPr>
          <w:cantSplit w:val="0"/>
          <w:trHeight w:val="330" w:hRule="atLeast"/>
          <w:tblHeader w:val="0"/>
        </w:trPr>
        <w:tc>
          <w:tcPr>
            <w:tcBorders>
              <w:top w:color="000000" w:space="0" w:sz="0" w:val="nil"/>
              <w:left w:color="ffffff" w:space="0" w:sz="6" w:val="single"/>
              <w:bottom w:color="000000"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2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M6</w:t>
            </w:r>
          </w:p>
        </w:tc>
        <w:tc>
          <w:tcPr>
            <w:tcBorders>
              <w:top w:color="000000" w:space="0" w:sz="0" w:val="nil"/>
              <w:left w:color="ffffff" w:space="0" w:sz="6" w:val="single"/>
              <w:bottom w:color="000000"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 comprehension score</w:t>
            </w:r>
          </w:p>
        </w:tc>
        <w:tc>
          <w:tcPr>
            <w:tcBorders>
              <w:top w:color="000000" w:space="0" w:sz="0" w:val="nil"/>
              <w:left w:color="ffffff" w:space="0" w:sz="6" w:val="single"/>
              <w:bottom w:color="000000"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-0.36</w:t>
            </w:r>
          </w:p>
        </w:tc>
        <w:tc>
          <w:tcPr>
            <w:tcBorders>
              <w:top w:color="000000" w:space="0" w:sz="0" w:val="nil"/>
              <w:left w:color="ffffff" w:space="0" w:sz="6" w:val="single"/>
              <w:bottom w:color="000000"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0.15</w:t>
            </w:r>
          </w:p>
        </w:tc>
        <w:tc>
          <w:tcPr>
            <w:tcBorders>
              <w:top w:color="000000" w:space="0" w:sz="0" w:val="nil"/>
              <w:left w:color="ffffff" w:space="0" w:sz="6" w:val="single"/>
              <w:bottom w:color="000000"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-2.39</w:t>
            </w:r>
          </w:p>
        </w:tc>
        <w:tc>
          <w:tcPr>
            <w:tcBorders>
              <w:top w:color="000000" w:space="0" w:sz="0" w:val="nil"/>
              <w:left w:color="ffffff" w:space="0" w:sz="6" w:val="single"/>
              <w:bottom w:color="000000"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.017</w:t>
            </w:r>
          </w:p>
        </w:tc>
      </w:tr>
      <w:tr>
        <w:trPr>
          <w:cantSplit w:val="0"/>
          <w:trHeight w:val="420" w:hRule="atLeast"/>
          <w:tblHeader w:val="0"/>
        </w:trPr>
        <w:tc>
          <w:tcPr>
            <w:gridSpan w:val="6"/>
            <w:tcBorders>
              <w:top w:color="000000" w:space="0" w:sz="6" w:val="single"/>
              <w:left w:color="ffffff" w:space="0" w:sz="6" w:val="single"/>
              <w:bottom w:color="000000" w:space="0" w:sz="8" w:val="single"/>
            </w:tcBorders>
            <w:tcMar>
              <w:top w:w="0.0" w:type="dxa"/>
              <w:left w:w="100.0" w:type="dxa"/>
              <w:bottom w:w="0.0" w:type="dxa"/>
              <w:right w:w="100.0" w:type="dxa"/>
            </w:tcMar>
            <w:vAlign w:val="top"/>
          </w:tcPr>
          <w:p w:rsidR="00000000" w:rsidDel="00000000" w:rsidP="00000000" w:rsidRDefault="00000000" w:rsidRPr="00000000" w14:paraId="0000003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The results that were statistically significant at p value &lt; .05 level were highlighted in bold. </w:t>
            </w:r>
          </w:p>
        </w:tc>
      </w:tr>
    </w:tbl>
    <w:p w:rsidR="00000000" w:rsidDel="00000000" w:rsidP="00000000" w:rsidRDefault="00000000" w:rsidRPr="00000000" w14:paraId="00000039">
      <w:pPr>
        <w:spacing w:line="48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3A">
      <w:pPr>
        <w:spacing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Table 2 Areas under the curves (AUC) for each binomial regression model </w:t>
      </w:r>
      <w:r w:rsidDel="00000000" w:rsidR="00000000" w:rsidRPr="00000000">
        <w:rPr>
          <w:rtl w:val="0"/>
        </w:rPr>
      </w:r>
    </w:p>
    <w:tbl>
      <w:tblPr>
        <w:tblStyle w:val="Table2"/>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165.727017241817"/>
        <w:gridCol w:w="3859.784793781807"/>
        <w:tblGridChange w:id="0">
          <w:tblGrid>
            <w:gridCol w:w="5165.727017241817"/>
            <w:gridCol w:w="3859.784793781807"/>
          </w:tblGrid>
        </w:tblGridChange>
      </w:tblGrid>
      <w:tr>
        <w:trPr>
          <w:cantSplit w:val="0"/>
          <w:trHeight w:val="480" w:hRule="atLeast"/>
          <w:tblHeader w:val="0"/>
        </w:trPr>
        <w:tc>
          <w:tcPr>
            <w:tcBorders>
              <w:top w:color="000000" w:space="0" w:sz="8" w:val="single"/>
              <w:left w:color="ffffff" w:space="0" w:sz="6" w:val="single"/>
              <w:bottom w:color="000000" w:space="0" w:sz="8" w:val="single"/>
              <w:right w:color="ffffff" w:space="0" w:sz="6" w:val="single"/>
            </w:tcBorders>
            <w:tcMar>
              <w:top w:w="0.0" w:type="dxa"/>
              <w:left w:w="100.0" w:type="dxa"/>
              <w:bottom w:w="0.0" w:type="dxa"/>
              <w:right w:w="100.0" w:type="dxa"/>
            </w:tcMar>
            <w:vAlign w:val="bottom"/>
          </w:tcPr>
          <w:p w:rsidR="00000000" w:rsidDel="00000000" w:rsidP="00000000" w:rsidRDefault="00000000" w:rsidRPr="00000000" w14:paraId="0000003B">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w:t>
            </w:r>
          </w:p>
        </w:tc>
        <w:tc>
          <w:tcPr>
            <w:tcBorders>
              <w:top w:color="000000" w:space="0" w:sz="8" w:val="single"/>
              <w:left w:color="ffffff" w:space="0" w:sz="6" w:val="single"/>
              <w:bottom w:color="000000" w:space="0" w:sz="8" w:val="single"/>
              <w:right w:color="ffffff" w:space="0" w:sz="6" w:val="single"/>
            </w:tcBorders>
            <w:tcMar>
              <w:top w:w="0.0" w:type="dxa"/>
              <w:left w:w="100.0" w:type="dxa"/>
              <w:bottom w:w="0.0" w:type="dxa"/>
              <w:right w:w="100.0" w:type="dxa"/>
            </w:tcMar>
            <w:vAlign w:val="bottom"/>
          </w:tcPr>
          <w:p w:rsidR="00000000" w:rsidDel="00000000" w:rsidP="00000000" w:rsidRDefault="00000000" w:rsidRPr="00000000" w14:paraId="0000003C">
            <w:pPr>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AUC</w:t>
            </w:r>
          </w:p>
        </w:tc>
      </w:tr>
      <w:tr>
        <w:trPr>
          <w:cantSplit w:val="0"/>
          <w:trHeight w:val="210" w:hRule="atLeast"/>
          <w:tblHeader w:val="0"/>
        </w:trPr>
        <w:tc>
          <w:tcPr>
            <w:tcBorders>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M1. Phonological test</w:t>
            </w:r>
          </w:p>
        </w:tc>
        <w:tc>
          <w:tcPr>
            <w:tcBorders>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0.727</w:t>
            </w:r>
          </w:p>
        </w:tc>
      </w:tr>
      <w:tr>
        <w:trPr>
          <w:cantSplit w:val="0"/>
          <w:trHeight w:val="240" w:hRule="atLeast"/>
          <w:tblHeader w:val="0"/>
        </w:trPr>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M2. Visual test</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0.555</w:t>
            </w:r>
          </w:p>
        </w:tc>
      </w:tr>
      <w:tr>
        <w:trPr>
          <w:cantSplit w:val="0"/>
          <w:trHeight w:val="255" w:hRule="atLeast"/>
          <w:tblHeader w:val="0"/>
        </w:trPr>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 Words reading test</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0.777</w:t>
            </w:r>
          </w:p>
        </w:tc>
      </w:tr>
      <w:tr>
        <w:trPr>
          <w:cantSplit w:val="0"/>
          <w:trHeight w:val="240" w:hRule="atLeast"/>
          <w:tblHeader w:val="0"/>
        </w:trPr>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M4. Pseudowords reading test</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0.729</w:t>
            </w:r>
          </w:p>
        </w:tc>
      </w:tr>
      <w:tr>
        <w:trPr>
          <w:cantSplit w:val="0"/>
          <w:trHeight w:val="195" w:hRule="atLeast"/>
          <w:tblHeader w:val="0"/>
        </w:trPr>
        <w:tc>
          <w:tcPr>
            <w:tcBorders>
              <w:top w:color="ffffff" w:space="0" w:sz="6" w:val="single"/>
              <w:left w:color="ffffff" w:space="0" w:sz="6" w:val="single"/>
              <w:bottom w:color="000000" w:space="0" w:sz="0" w:val="nil"/>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M5. Text reading test</w:t>
            </w:r>
          </w:p>
        </w:tc>
        <w:tc>
          <w:tcPr>
            <w:tcBorders>
              <w:top w:color="ffffff" w:space="0" w:sz="6" w:val="single"/>
              <w:left w:color="ffffff" w:space="0" w:sz="6" w:val="single"/>
              <w:bottom w:color="000000" w:space="0" w:sz="0" w:val="nil"/>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0.751</w:t>
            </w:r>
          </w:p>
        </w:tc>
      </w:tr>
      <w:tr>
        <w:trPr>
          <w:cantSplit w:val="0"/>
          <w:trHeight w:val="195" w:hRule="atLeast"/>
          <w:tblHeader w:val="0"/>
        </w:trPr>
        <w:tc>
          <w:tcPr>
            <w:tcBorders>
              <w:top w:color="000000" w:space="0" w:sz="0" w:val="nil"/>
              <w:left w:color="ffffff" w:space="0" w:sz="6" w:val="single"/>
              <w:bottom w:color="000000" w:space="0" w:sz="8"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M6. Text comprehension score</w:t>
            </w:r>
          </w:p>
        </w:tc>
        <w:tc>
          <w:tcPr>
            <w:tcBorders>
              <w:top w:color="000000" w:space="0" w:sz="0" w:val="nil"/>
              <w:left w:color="ffffff" w:space="0" w:sz="6" w:val="single"/>
              <w:bottom w:color="000000" w:space="0" w:sz="8"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0.641</w:t>
            </w:r>
          </w:p>
        </w:tc>
      </w:tr>
    </w:tbl>
    <w:p w:rsidR="00000000" w:rsidDel="00000000" w:rsidP="00000000" w:rsidRDefault="00000000" w:rsidRPr="00000000" w14:paraId="00000049">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spacing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Table 3 The indicators from the confusion matrices for all six models</w:t>
      </w:r>
      <w:r w:rsidDel="00000000" w:rsidR="00000000" w:rsidRPr="00000000">
        <w:rPr>
          <w:rtl w:val="0"/>
        </w:rPr>
      </w:r>
    </w:p>
    <w:tbl>
      <w:tblPr>
        <w:tblStyle w:val="Table3"/>
        <w:tblW w:w="9450.0" w:type="dxa"/>
        <w:jc w:val="left"/>
        <w:tblInd w:w="-40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80"/>
        <w:gridCol w:w="1095"/>
        <w:gridCol w:w="1335"/>
        <w:gridCol w:w="1110"/>
        <w:gridCol w:w="1110"/>
        <w:gridCol w:w="1110"/>
        <w:gridCol w:w="1410"/>
        <w:tblGridChange w:id="0">
          <w:tblGrid>
            <w:gridCol w:w="2280"/>
            <w:gridCol w:w="1095"/>
            <w:gridCol w:w="1335"/>
            <w:gridCol w:w="1110"/>
            <w:gridCol w:w="1110"/>
            <w:gridCol w:w="1110"/>
            <w:gridCol w:w="1410"/>
          </w:tblGrid>
        </w:tblGridChange>
      </w:tblGrid>
      <w:tr>
        <w:trPr>
          <w:cantSplit w:val="0"/>
          <w:trHeight w:val="600" w:hRule="atLeast"/>
          <w:tblHeader w:val="0"/>
        </w:trPr>
        <w:tc>
          <w:tcPr>
            <w:tcBorders>
              <w:top w:color="000000" w:space="0" w:sz="8" w:val="single"/>
              <w:left w:color="ffffff" w:space="0" w:sz="6" w:val="single"/>
              <w:bottom w:color="000000" w:space="0" w:sz="8" w:val="single"/>
              <w:right w:color="ffffff" w:space="0" w:sz="6" w:val="single"/>
            </w:tcBorders>
            <w:tcMar>
              <w:top w:w="0.0" w:type="dxa"/>
              <w:left w:w="100.0" w:type="dxa"/>
              <w:bottom w:w="0.0" w:type="dxa"/>
              <w:right w:w="100.0" w:type="dxa"/>
            </w:tcMar>
            <w:vAlign w:val="bottom"/>
          </w:tcPr>
          <w:p w:rsidR="00000000" w:rsidDel="00000000" w:rsidP="00000000" w:rsidRDefault="00000000" w:rsidRPr="00000000" w14:paraId="0000004B">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Models</w:t>
            </w:r>
          </w:p>
        </w:tc>
        <w:tc>
          <w:tcPr>
            <w:tcBorders>
              <w:top w:color="000000" w:space="0" w:sz="8" w:val="single"/>
              <w:left w:color="ffffff" w:space="0" w:sz="6" w:val="single"/>
              <w:bottom w:color="000000" w:space="0" w:sz="8" w:val="single"/>
              <w:right w:color="ffffff" w:space="0" w:sz="6" w:val="single"/>
            </w:tcBorders>
            <w:tcMar>
              <w:top w:w="0.0" w:type="dxa"/>
              <w:left w:w="100.0" w:type="dxa"/>
              <w:bottom w:w="0.0" w:type="dxa"/>
              <w:right w:w="100.0" w:type="dxa"/>
            </w:tcMar>
            <w:vAlign w:val="bottom"/>
          </w:tcPr>
          <w:p w:rsidR="00000000" w:rsidDel="00000000" w:rsidP="00000000" w:rsidRDefault="00000000" w:rsidRPr="00000000" w14:paraId="0000004C">
            <w:pPr>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True positive</w:t>
            </w:r>
          </w:p>
        </w:tc>
        <w:tc>
          <w:tcPr>
            <w:tcBorders>
              <w:top w:color="000000" w:space="0" w:sz="8" w:val="single"/>
              <w:left w:color="ffffff" w:space="0" w:sz="6" w:val="single"/>
              <w:bottom w:color="000000" w:space="0" w:sz="8" w:val="single"/>
              <w:right w:color="ffffff" w:space="0" w:sz="6" w:val="single"/>
            </w:tcBorders>
            <w:tcMar>
              <w:top w:w="0.0" w:type="dxa"/>
              <w:left w:w="100.0" w:type="dxa"/>
              <w:bottom w:w="0.0" w:type="dxa"/>
              <w:right w:w="100.0" w:type="dxa"/>
            </w:tcMar>
            <w:vAlign w:val="bottom"/>
          </w:tcPr>
          <w:p w:rsidR="00000000" w:rsidDel="00000000" w:rsidP="00000000" w:rsidRDefault="00000000" w:rsidRPr="00000000" w14:paraId="0000004D">
            <w:pPr>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False negative</w:t>
            </w:r>
          </w:p>
        </w:tc>
        <w:tc>
          <w:tcPr>
            <w:tcBorders>
              <w:top w:color="000000" w:space="0" w:sz="8" w:val="single"/>
              <w:left w:color="ffffff" w:space="0" w:sz="6" w:val="single"/>
              <w:bottom w:color="000000" w:space="0" w:sz="8" w:val="single"/>
              <w:right w:color="ffffff" w:space="0" w:sz="6" w:val="single"/>
            </w:tcBorders>
            <w:tcMar>
              <w:top w:w="0.0" w:type="dxa"/>
              <w:left w:w="100.0" w:type="dxa"/>
              <w:bottom w:w="0.0" w:type="dxa"/>
              <w:right w:w="100.0" w:type="dxa"/>
            </w:tcMar>
            <w:vAlign w:val="bottom"/>
          </w:tcPr>
          <w:p w:rsidR="00000000" w:rsidDel="00000000" w:rsidP="00000000" w:rsidRDefault="00000000" w:rsidRPr="00000000" w14:paraId="0000004E">
            <w:pPr>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True negative</w:t>
            </w:r>
          </w:p>
        </w:tc>
        <w:tc>
          <w:tcPr>
            <w:tcBorders>
              <w:top w:color="000000" w:space="0" w:sz="8" w:val="single"/>
              <w:left w:color="ffffff" w:space="0" w:sz="6" w:val="single"/>
              <w:bottom w:color="000000" w:space="0" w:sz="8" w:val="single"/>
              <w:right w:color="ffffff" w:space="0" w:sz="6" w:val="single"/>
            </w:tcBorders>
            <w:tcMar>
              <w:top w:w="0.0" w:type="dxa"/>
              <w:left w:w="100.0" w:type="dxa"/>
              <w:bottom w:w="0.0" w:type="dxa"/>
              <w:right w:w="100.0" w:type="dxa"/>
            </w:tcMar>
            <w:vAlign w:val="bottom"/>
          </w:tcPr>
          <w:p w:rsidR="00000000" w:rsidDel="00000000" w:rsidP="00000000" w:rsidRDefault="00000000" w:rsidRPr="00000000" w14:paraId="0000004F">
            <w:pPr>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False positive</w:t>
            </w:r>
          </w:p>
        </w:tc>
        <w:tc>
          <w:tcPr>
            <w:tcBorders>
              <w:top w:color="000000" w:space="0" w:sz="8" w:val="single"/>
              <w:left w:color="ffffff" w:space="0" w:sz="6" w:val="single"/>
              <w:bottom w:color="000000" w:space="0" w:sz="8" w:val="single"/>
              <w:right w:color="ffffff" w:space="0" w:sz="6" w:val="single"/>
            </w:tcBorders>
            <w:tcMar>
              <w:top w:w="0.0" w:type="dxa"/>
              <w:left w:w="100.0" w:type="dxa"/>
              <w:bottom w:w="0.0" w:type="dxa"/>
              <w:right w:w="100.0" w:type="dxa"/>
            </w:tcMar>
            <w:vAlign w:val="bottom"/>
          </w:tcPr>
          <w:p w:rsidR="00000000" w:rsidDel="00000000" w:rsidP="00000000" w:rsidRDefault="00000000" w:rsidRPr="00000000" w14:paraId="00000050">
            <w:pPr>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51">
            <w:pPr>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Sensitivity</w:t>
            </w:r>
          </w:p>
        </w:tc>
        <w:tc>
          <w:tcPr>
            <w:tcBorders>
              <w:top w:color="000000" w:space="0" w:sz="8" w:val="single"/>
              <w:left w:color="ffffff" w:space="0" w:sz="6" w:val="single"/>
              <w:bottom w:color="000000" w:space="0" w:sz="8" w:val="single"/>
              <w:right w:color="ffffff" w:space="0" w:sz="6" w:val="single"/>
            </w:tcBorders>
            <w:tcMar>
              <w:top w:w="0.0" w:type="dxa"/>
              <w:left w:w="100.0" w:type="dxa"/>
              <w:bottom w:w="0.0" w:type="dxa"/>
              <w:right w:w="100.0" w:type="dxa"/>
            </w:tcMar>
            <w:vAlign w:val="bottom"/>
          </w:tcPr>
          <w:p w:rsidR="00000000" w:rsidDel="00000000" w:rsidP="00000000" w:rsidRDefault="00000000" w:rsidRPr="00000000" w14:paraId="00000052">
            <w:pPr>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Specificity</w:t>
            </w:r>
          </w:p>
        </w:tc>
      </w:tr>
      <w:tr>
        <w:trPr>
          <w:cantSplit w:val="0"/>
          <w:trHeight w:val="480" w:hRule="atLeast"/>
          <w:tblHeader w:val="0"/>
        </w:trPr>
        <w:tc>
          <w:tcPr>
            <w:tcBorders>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M1. Phonological test</w:t>
            </w:r>
          </w:p>
        </w:tc>
        <w:tc>
          <w:tcPr>
            <w:tcBorders>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59</w:t>
            </w:r>
          </w:p>
        </w:tc>
        <w:tc>
          <w:tcPr>
            <w:tcBorders>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w:t>
            </w:r>
          </w:p>
        </w:tc>
        <w:tc>
          <w:tcPr>
            <w:tcBorders>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0.56</w:t>
            </w:r>
          </w:p>
        </w:tc>
        <w:tc>
          <w:tcPr>
            <w:tcBorders>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0.73</w:t>
            </w:r>
          </w:p>
        </w:tc>
      </w:tr>
      <w:tr>
        <w:trPr>
          <w:cantSplit w:val="0"/>
          <w:trHeight w:val="465" w:hRule="atLeast"/>
          <w:tblHeader w:val="0"/>
        </w:trPr>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M2. Visual test</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0.42</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0.76</w:t>
            </w:r>
          </w:p>
        </w:tc>
      </w:tr>
      <w:tr>
        <w:trPr>
          <w:cantSplit w:val="0"/>
          <w:trHeight w:val="465" w:hRule="atLeast"/>
          <w:tblHeader w:val="0"/>
        </w:trPr>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 Words reading test</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58</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0.60</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0.75</w:t>
            </w:r>
          </w:p>
        </w:tc>
      </w:tr>
      <w:tr>
        <w:trPr>
          <w:cantSplit w:val="0"/>
          <w:trHeight w:val="465" w:hRule="atLeast"/>
          <w:tblHeader w:val="0"/>
        </w:trPr>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M4. Pseudowords reading test</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59</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0.56</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0.73</w:t>
            </w:r>
          </w:p>
        </w:tc>
      </w:tr>
      <w:tr>
        <w:trPr>
          <w:cantSplit w:val="0"/>
          <w:trHeight w:val="480" w:hRule="atLeast"/>
          <w:tblHeader w:val="0"/>
        </w:trPr>
        <w:tc>
          <w:tcPr>
            <w:tcBorders>
              <w:top w:color="ffffff" w:space="0" w:sz="6" w:val="single"/>
              <w:left w:color="ffffff" w:space="0" w:sz="6" w:val="single"/>
              <w:bottom w:color="000000" w:space="0" w:sz="0" w:val="nil"/>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M5. Text reading test</w:t>
            </w:r>
          </w:p>
        </w:tc>
        <w:tc>
          <w:tcPr>
            <w:tcBorders>
              <w:top w:color="ffffff" w:space="0" w:sz="6" w:val="single"/>
              <w:left w:color="ffffff" w:space="0" w:sz="6" w:val="single"/>
              <w:bottom w:color="000000" w:space="0" w:sz="0" w:val="nil"/>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tcBorders>
              <w:top w:color="ffffff" w:space="0" w:sz="6" w:val="single"/>
              <w:left w:color="ffffff" w:space="0" w:sz="6" w:val="single"/>
              <w:bottom w:color="000000" w:space="0" w:sz="0" w:val="nil"/>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ffffff" w:space="0" w:sz="6" w:val="single"/>
              <w:left w:color="ffffff" w:space="0" w:sz="6" w:val="single"/>
              <w:bottom w:color="000000" w:space="0" w:sz="0" w:val="nil"/>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59</w:t>
            </w:r>
          </w:p>
        </w:tc>
        <w:tc>
          <w:tcPr>
            <w:tcBorders>
              <w:top w:color="ffffff" w:space="0" w:sz="6" w:val="single"/>
              <w:left w:color="ffffff" w:space="0" w:sz="6" w:val="single"/>
              <w:bottom w:color="000000" w:space="0" w:sz="0" w:val="nil"/>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tcBorders>
              <w:top w:color="ffffff" w:space="0" w:sz="6" w:val="single"/>
              <w:left w:color="ffffff" w:space="0" w:sz="6" w:val="single"/>
              <w:bottom w:color="000000" w:space="0" w:sz="0" w:val="nil"/>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0.61</w:t>
            </w:r>
          </w:p>
        </w:tc>
        <w:tc>
          <w:tcPr>
            <w:tcBorders>
              <w:top w:color="ffffff" w:space="0" w:sz="6" w:val="single"/>
              <w:left w:color="ffffff" w:space="0" w:sz="6" w:val="single"/>
              <w:bottom w:color="000000" w:space="0" w:sz="0" w:val="nil"/>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0.75</w:t>
            </w:r>
          </w:p>
        </w:tc>
      </w:tr>
      <w:tr>
        <w:trPr>
          <w:cantSplit w:val="0"/>
          <w:trHeight w:val="480" w:hRule="atLeast"/>
          <w:tblHeader w:val="0"/>
        </w:trPr>
        <w:tc>
          <w:tcPr>
            <w:tcBorders>
              <w:top w:color="000000" w:space="0" w:sz="0" w:val="nil"/>
              <w:left w:color="ffffff" w:space="0" w:sz="6" w:val="single"/>
              <w:bottom w:color="000000" w:space="0" w:sz="8"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M6. Text comprehension score</w:t>
            </w:r>
          </w:p>
        </w:tc>
        <w:tc>
          <w:tcPr>
            <w:tcBorders>
              <w:top w:color="000000" w:space="0" w:sz="0" w:val="nil"/>
              <w:left w:color="ffffff" w:space="0" w:sz="6" w:val="single"/>
              <w:bottom w:color="000000" w:space="0" w:sz="8"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0" w:val="nil"/>
              <w:left w:color="ffffff" w:space="0" w:sz="6" w:val="single"/>
              <w:bottom w:color="000000" w:space="0" w:sz="8"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ffffff" w:space="0" w:sz="6" w:val="single"/>
              <w:bottom w:color="000000" w:space="0" w:sz="8"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w:t>
            </w:r>
          </w:p>
        </w:tc>
        <w:tc>
          <w:tcPr>
            <w:tcBorders>
              <w:top w:color="000000" w:space="0" w:sz="0" w:val="nil"/>
              <w:left w:color="ffffff" w:space="0" w:sz="6" w:val="single"/>
              <w:bottom w:color="000000" w:space="0" w:sz="8"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w:t>
            </w:r>
          </w:p>
        </w:tc>
        <w:tc>
          <w:tcPr>
            <w:tcBorders>
              <w:top w:color="000000" w:space="0" w:sz="0" w:val="nil"/>
              <w:left w:color="ffffff" w:space="0" w:sz="6" w:val="single"/>
              <w:bottom w:color="000000" w:space="0" w:sz="8"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0.54</w:t>
            </w:r>
          </w:p>
        </w:tc>
        <w:tc>
          <w:tcPr>
            <w:tcBorders>
              <w:top w:color="000000" w:space="0" w:sz="0" w:val="nil"/>
              <w:left w:color="ffffff" w:space="0" w:sz="6" w:val="single"/>
              <w:bottom w:color="000000" w:space="0" w:sz="8"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0.71</w:t>
            </w:r>
          </w:p>
        </w:tc>
      </w:tr>
    </w:tbl>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Analysis based on the results of those participants, who had their nonverbal IQ within the normative level</w:t>
      </w:r>
    </w:p>
    <w:p w:rsidR="00000000" w:rsidDel="00000000" w:rsidP="00000000" w:rsidRDefault="00000000" w:rsidRPr="00000000" w14:paraId="000000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We applied the same analysis to the sample from the previous part of the analysis, however, here we filtered the results leaving in the sample only those participants, who had their nonverbal IQ level within the normative for their age. </w:t>
      </w:r>
    </w:p>
    <w:p w:rsidR="00000000" w:rsidDel="00000000" w:rsidP="00000000" w:rsidRDefault="00000000" w:rsidRPr="00000000" w14:paraId="000000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Hence, the D group included the results of 27 participants (10 girls, 17 boys, Mean(age) = 15.30, SD = 1.27, range = 14–18). The TD group included the results of 47 participants (24 girls, 23 boys, Mean(age) = 16.00, SD = 1.22, range = 14–18). </w:t>
      </w:r>
    </w:p>
    <w:p w:rsidR="00000000" w:rsidDel="00000000" w:rsidP="00000000" w:rsidRDefault="00000000" w:rsidRPr="00000000" w14:paraId="00000081">
      <w:pPr>
        <w:spacing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Table 4 The results of the regression analysis for all six models</w:t>
      </w:r>
      <w:r w:rsidDel="00000000" w:rsidR="00000000" w:rsidRPr="00000000">
        <w:rPr>
          <w:rtl w:val="0"/>
        </w:rPr>
      </w:r>
    </w:p>
    <w:tbl>
      <w:tblPr>
        <w:tblStyle w:val="Table4"/>
        <w:tblW w:w="90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35"/>
        <w:gridCol w:w="2430"/>
        <w:gridCol w:w="1320"/>
        <w:gridCol w:w="1575"/>
        <w:gridCol w:w="1335"/>
        <w:gridCol w:w="1335"/>
        <w:tblGridChange w:id="0">
          <w:tblGrid>
            <w:gridCol w:w="1035"/>
            <w:gridCol w:w="2430"/>
            <w:gridCol w:w="1320"/>
            <w:gridCol w:w="1575"/>
            <w:gridCol w:w="1335"/>
            <w:gridCol w:w="1335"/>
          </w:tblGrid>
        </w:tblGridChange>
      </w:tblGrid>
      <w:tr>
        <w:trPr>
          <w:cantSplit w:val="0"/>
          <w:trHeight w:val="570" w:hRule="atLeast"/>
          <w:tblHeader w:val="0"/>
        </w:trPr>
        <w:tc>
          <w:tcPr>
            <w:tcBorders>
              <w:top w:color="000000" w:space="0" w:sz="8" w:val="single"/>
              <w:left w:color="ffffff" w:space="0" w:sz="6" w:val="single"/>
              <w:bottom w:color="000000" w:space="0" w:sz="8" w:val="single"/>
              <w:right w:color="ffffff" w:space="0" w:sz="6" w:val="single"/>
            </w:tcBorders>
            <w:tcMar>
              <w:top w:w="0.0" w:type="dxa"/>
              <w:left w:w="100.0" w:type="dxa"/>
              <w:bottom w:w="0.0" w:type="dxa"/>
              <w:right w:w="100.0" w:type="dxa"/>
            </w:tcMar>
            <w:vAlign w:val="bottom"/>
          </w:tcPr>
          <w:p w:rsidR="00000000" w:rsidDel="00000000" w:rsidP="00000000" w:rsidRDefault="00000000" w:rsidRPr="00000000" w14:paraId="00000082">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w:t>
            </w:r>
          </w:p>
        </w:tc>
        <w:tc>
          <w:tcPr>
            <w:tcBorders>
              <w:top w:color="000000" w:space="0" w:sz="8" w:val="single"/>
              <w:left w:color="ffffff" w:space="0" w:sz="6" w:val="single"/>
              <w:bottom w:color="000000" w:space="0" w:sz="8" w:val="single"/>
              <w:right w:color="ffffff" w:space="0" w:sz="6" w:val="single"/>
            </w:tcBorders>
            <w:tcMar>
              <w:top w:w="0.0" w:type="dxa"/>
              <w:left w:w="100.0" w:type="dxa"/>
              <w:bottom w:w="0.0" w:type="dxa"/>
              <w:right w:w="100.0" w:type="dxa"/>
            </w:tcMar>
            <w:vAlign w:val="bottom"/>
          </w:tcPr>
          <w:p w:rsidR="00000000" w:rsidDel="00000000" w:rsidP="00000000" w:rsidRDefault="00000000" w:rsidRPr="00000000" w14:paraId="00000083">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Variables</w:t>
            </w:r>
          </w:p>
        </w:tc>
        <w:tc>
          <w:tcPr>
            <w:tcBorders>
              <w:top w:color="000000" w:space="0" w:sz="8" w:val="single"/>
              <w:left w:color="ffffff" w:space="0" w:sz="6" w:val="single"/>
              <w:bottom w:color="000000" w:space="0" w:sz="8" w:val="single"/>
              <w:right w:color="ffffff" w:space="0" w:sz="6" w:val="single"/>
            </w:tcBorders>
            <w:tcMar>
              <w:top w:w="0.0" w:type="dxa"/>
              <w:left w:w="100.0" w:type="dxa"/>
              <w:bottom w:w="0.0" w:type="dxa"/>
              <w:right w:w="100.0" w:type="dxa"/>
            </w:tcMar>
            <w:vAlign w:val="bottom"/>
          </w:tcPr>
          <w:p w:rsidR="00000000" w:rsidDel="00000000" w:rsidP="00000000" w:rsidRDefault="00000000" w:rsidRPr="00000000" w14:paraId="00000084">
            <w:pPr>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Values</w:t>
            </w:r>
          </w:p>
        </w:tc>
        <w:tc>
          <w:tcPr>
            <w:tcBorders>
              <w:top w:color="000000" w:space="0" w:sz="8" w:val="single"/>
              <w:left w:color="ffffff" w:space="0" w:sz="6" w:val="single"/>
              <w:bottom w:color="000000" w:space="0" w:sz="8" w:val="single"/>
              <w:right w:color="ffffff" w:space="0" w:sz="6" w:val="single"/>
            </w:tcBorders>
            <w:tcMar>
              <w:top w:w="0.0" w:type="dxa"/>
              <w:left w:w="100.0" w:type="dxa"/>
              <w:bottom w:w="0.0" w:type="dxa"/>
              <w:right w:w="100.0" w:type="dxa"/>
            </w:tcMar>
            <w:vAlign w:val="bottom"/>
          </w:tcPr>
          <w:p w:rsidR="00000000" w:rsidDel="00000000" w:rsidP="00000000" w:rsidRDefault="00000000" w:rsidRPr="00000000" w14:paraId="00000085">
            <w:pPr>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Standard error</w:t>
            </w:r>
          </w:p>
        </w:tc>
        <w:tc>
          <w:tcPr>
            <w:tcBorders>
              <w:top w:color="000000" w:space="0" w:sz="8" w:val="single"/>
              <w:left w:color="ffffff" w:space="0" w:sz="6" w:val="single"/>
              <w:bottom w:color="000000" w:space="0" w:sz="8" w:val="single"/>
              <w:right w:color="ffffff" w:space="0" w:sz="6" w:val="single"/>
            </w:tcBorders>
            <w:tcMar>
              <w:top w:w="0.0" w:type="dxa"/>
              <w:left w:w="100.0" w:type="dxa"/>
              <w:bottom w:w="0.0" w:type="dxa"/>
              <w:right w:w="100.0" w:type="dxa"/>
            </w:tcMar>
            <w:vAlign w:val="bottom"/>
          </w:tcPr>
          <w:p w:rsidR="00000000" w:rsidDel="00000000" w:rsidP="00000000" w:rsidRDefault="00000000" w:rsidRPr="00000000" w14:paraId="00000086">
            <w:pPr>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 value</w:t>
            </w:r>
          </w:p>
        </w:tc>
        <w:tc>
          <w:tcPr>
            <w:tcBorders>
              <w:top w:color="000000" w:space="0" w:sz="8" w:val="single"/>
              <w:left w:color="ffffff" w:space="0" w:sz="6" w:val="single"/>
              <w:bottom w:color="000000" w:space="0" w:sz="8" w:val="single"/>
              <w:right w:color="ffffff" w:space="0" w:sz="6" w:val="single"/>
            </w:tcBorders>
            <w:tcMar>
              <w:top w:w="0.0" w:type="dxa"/>
              <w:left w:w="100.0" w:type="dxa"/>
              <w:bottom w:w="0.0" w:type="dxa"/>
              <w:right w:w="100.0" w:type="dxa"/>
            </w:tcMar>
            <w:vAlign w:val="bottom"/>
          </w:tcPr>
          <w:p w:rsidR="00000000" w:rsidDel="00000000" w:rsidP="00000000" w:rsidRDefault="00000000" w:rsidRPr="00000000" w14:paraId="00000087">
            <w:pPr>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 value</w:t>
            </w:r>
          </w:p>
        </w:tc>
      </w:tr>
      <w:tr>
        <w:trPr>
          <w:cantSplit w:val="0"/>
          <w:trHeight w:val="240" w:hRule="atLeast"/>
          <w:tblHeader w:val="0"/>
        </w:trPr>
        <w:tc>
          <w:tcPr>
            <w:tcBorders>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M1</w:t>
            </w:r>
          </w:p>
        </w:tc>
        <w:tc>
          <w:tcPr>
            <w:tcBorders>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Phonological test</w:t>
            </w:r>
          </w:p>
        </w:tc>
        <w:tc>
          <w:tcPr>
            <w:tcBorders>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-6.76</w:t>
            </w:r>
          </w:p>
        </w:tc>
        <w:tc>
          <w:tcPr>
            <w:tcBorders>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2.86</w:t>
            </w:r>
          </w:p>
        </w:tc>
        <w:tc>
          <w:tcPr>
            <w:tcBorders>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-2.37</w:t>
            </w:r>
          </w:p>
        </w:tc>
        <w:tc>
          <w:tcPr>
            <w:tcBorders>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.018</w:t>
            </w:r>
          </w:p>
        </w:tc>
      </w:tr>
      <w:tr>
        <w:trPr>
          <w:cantSplit w:val="0"/>
          <w:trHeight w:val="165" w:hRule="atLeast"/>
          <w:tblHeader w:val="0"/>
        </w:trPr>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M2</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 test</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-3.12</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1.74</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-1.79</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.073</w:t>
            </w:r>
          </w:p>
        </w:tc>
      </w:tr>
      <w:tr>
        <w:trPr>
          <w:cantSplit w:val="0"/>
          <w:trHeight w:val="225" w:hRule="atLeast"/>
          <w:tblHeader w:val="0"/>
        </w:trPr>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Words reading test</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-2.93</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.003</w:t>
            </w:r>
          </w:p>
        </w:tc>
      </w:tr>
      <w:tr>
        <w:trPr>
          <w:cantSplit w:val="0"/>
          <w:trHeight w:val="180" w:hRule="atLeast"/>
          <w:tblHeader w:val="0"/>
        </w:trPr>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M4</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Pseudowords reading test</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-2.18</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.029</w:t>
            </w:r>
          </w:p>
        </w:tc>
      </w:tr>
      <w:tr>
        <w:trPr>
          <w:cantSplit w:val="0"/>
          <w:trHeight w:val="195" w:hRule="atLeast"/>
          <w:tblHeader w:val="0"/>
        </w:trPr>
        <w:tc>
          <w:tcPr>
            <w:tcBorders>
              <w:top w:color="ffffff" w:space="0" w:sz="6" w:val="single"/>
              <w:left w:color="ffffff" w:space="0" w:sz="6" w:val="single"/>
              <w:bottom w:color="000000" w:space="0" w:sz="0" w:val="nil"/>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M5</w:t>
            </w:r>
          </w:p>
        </w:tc>
        <w:tc>
          <w:tcPr>
            <w:tcBorders>
              <w:top w:color="ffffff" w:space="0" w:sz="6" w:val="single"/>
              <w:left w:color="ffffff" w:space="0" w:sz="6" w:val="single"/>
              <w:bottom w:color="000000" w:space="0" w:sz="0" w:val="nil"/>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 reading test</w:t>
            </w:r>
          </w:p>
        </w:tc>
        <w:tc>
          <w:tcPr>
            <w:tcBorders>
              <w:top w:color="ffffff" w:space="0" w:sz="6" w:val="single"/>
              <w:left w:color="ffffff" w:space="0" w:sz="6" w:val="single"/>
              <w:bottom w:color="000000" w:space="0" w:sz="0" w:val="nil"/>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6" w:val="single"/>
              <w:left w:color="ffffff" w:space="0" w:sz="6" w:val="single"/>
              <w:bottom w:color="000000" w:space="0" w:sz="0" w:val="nil"/>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w:t>
            </w:r>
          </w:p>
        </w:tc>
        <w:tc>
          <w:tcPr>
            <w:tcBorders>
              <w:top w:color="ffffff" w:space="0" w:sz="6" w:val="single"/>
              <w:left w:color="ffffff" w:space="0" w:sz="6" w:val="single"/>
              <w:bottom w:color="000000" w:space="0" w:sz="0" w:val="nil"/>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-2.17</w:t>
            </w:r>
          </w:p>
        </w:tc>
        <w:tc>
          <w:tcPr>
            <w:tcBorders>
              <w:top w:color="ffffff" w:space="0" w:sz="6" w:val="single"/>
              <w:left w:color="ffffff" w:space="0" w:sz="6" w:val="single"/>
              <w:bottom w:color="000000" w:space="0" w:sz="0" w:val="nil"/>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.030</w:t>
            </w:r>
          </w:p>
        </w:tc>
      </w:tr>
      <w:tr>
        <w:trPr>
          <w:cantSplit w:val="0"/>
          <w:trHeight w:val="330" w:hRule="atLeast"/>
          <w:tblHeader w:val="0"/>
        </w:trPr>
        <w:tc>
          <w:tcPr>
            <w:tcBorders>
              <w:top w:color="000000" w:space="0" w:sz="0" w:val="nil"/>
              <w:left w:color="ffffff" w:space="0" w:sz="6" w:val="single"/>
              <w:bottom w:color="000000"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M6</w:t>
            </w:r>
          </w:p>
        </w:tc>
        <w:tc>
          <w:tcPr>
            <w:tcBorders>
              <w:top w:color="000000" w:space="0" w:sz="0" w:val="nil"/>
              <w:left w:color="ffffff" w:space="0" w:sz="6" w:val="single"/>
              <w:bottom w:color="000000"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 comprehension score</w:t>
            </w:r>
          </w:p>
        </w:tc>
        <w:tc>
          <w:tcPr>
            <w:tcBorders>
              <w:top w:color="000000" w:space="0" w:sz="0" w:val="nil"/>
              <w:left w:color="ffffff" w:space="0" w:sz="6" w:val="single"/>
              <w:bottom w:color="000000"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-0.40</w:t>
            </w:r>
          </w:p>
        </w:tc>
        <w:tc>
          <w:tcPr>
            <w:tcBorders>
              <w:top w:color="000000" w:space="0" w:sz="0" w:val="nil"/>
              <w:left w:color="ffffff" w:space="0" w:sz="6" w:val="single"/>
              <w:bottom w:color="000000"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0.19</w:t>
            </w:r>
          </w:p>
        </w:tc>
        <w:tc>
          <w:tcPr>
            <w:tcBorders>
              <w:top w:color="000000" w:space="0" w:sz="0" w:val="nil"/>
              <w:left w:color="ffffff" w:space="0" w:sz="6" w:val="single"/>
              <w:bottom w:color="000000"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-2.08</w:t>
            </w:r>
          </w:p>
        </w:tc>
        <w:tc>
          <w:tcPr>
            <w:tcBorders>
              <w:top w:color="000000" w:space="0" w:sz="0" w:val="nil"/>
              <w:left w:color="ffffff" w:space="0" w:sz="6" w:val="single"/>
              <w:bottom w:color="000000"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.038</w:t>
            </w:r>
          </w:p>
        </w:tc>
      </w:tr>
      <w:tr>
        <w:trPr>
          <w:cantSplit w:val="0"/>
          <w:trHeight w:val="420" w:hRule="atLeast"/>
          <w:tblHeader w:val="0"/>
        </w:trPr>
        <w:tc>
          <w:tcPr>
            <w:gridSpan w:val="6"/>
            <w:tcBorders>
              <w:top w:color="000000" w:space="0" w:sz="6" w:val="single"/>
              <w:left w:color="ffffff" w:space="0" w:sz="6" w:val="single"/>
              <w:bottom w:color="000000" w:space="0" w:sz="8" w:val="single"/>
            </w:tcBorders>
            <w:tcMar>
              <w:top w:w="0.0" w:type="dxa"/>
              <w:left w:w="100.0" w:type="dxa"/>
              <w:bottom w:w="0.0" w:type="dxa"/>
              <w:right w:w="100.0" w:type="dxa"/>
            </w:tcMar>
            <w:vAlign w:val="top"/>
          </w:tcPr>
          <w:p w:rsidR="00000000" w:rsidDel="00000000" w:rsidP="00000000" w:rsidRDefault="00000000" w:rsidRPr="00000000" w14:paraId="000000A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The results that were statistically significant at p value &lt; .05 level were highlighted in bold. </w:t>
            </w:r>
          </w:p>
        </w:tc>
      </w:tr>
    </w:tbl>
    <w:p w:rsidR="00000000" w:rsidDel="00000000" w:rsidP="00000000" w:rsidRDefault="00000000" w:rsidRPr="00000000" w14:paraId="000000B2">
      <w:pPr>
        <w:spacing w:line="48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B3">
      <w:pPr>
        <w:spacing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Table 5 Areas under the curves (AUC) for each binomial regression model </w:t>
      </w:r>
      <w:r w:rsidDel="00000000" w:rsidR="00000000" w:rsidRPr="00000000">
        <w:rPr>
          <w:rtl w:val="0"/>
        </w:rPr>
      </w:r>
    </w:p>
    <w:tbl>
      <w:tblPr>
        <w:tblStyle w:val="Table5"/>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165.727017241817"/>
        <w:gridCol w:w="3859.784793781807"/>
        <w:tblGridChange w:id="0">
          <w:tblGrid>
            <w:gridCol w:w="5165.727017241817"/>
            <w:gridCol w:w="3859.784793781807"/>
          </w:tblGrid>
        </w:tblGridChange>
      </w:tblGrid>
      <w:tr>
        <w:trPr>
          <w:cantSplit w:val="0"/>
          <w:trHeight w:val="480" w:hRule="atLeast"/>
          <w:tblHeader w:val="0"/>
        </w:trPr>
        <w:tc>
          <w:tcPr>
            <w:tcBorders>
              <w:top w:color="000000" w:space="0" w:sz="8" w:val="single"/>
              <w:left w:color="ffffff" w:space="0" w:sz="6" w:val="single"/>
              <w:bottom w:color="000000" w:space="0" w:sz="8" w:val="single"/>
              <w:right w:color="ffffff" w:space="0" w:sz="6" w:val="single"/>
            </w:tcBorders>
            <w:tcMar>
              <w:top w:w="0.0" w:type="dxa"/>
              <w:left w:w="100.0" w:type="dxa"/>
              <w:bottom w:w="0.0" w:type="dxa"/>
              <w:right w:w="100.0" w:type="dxa"/>
            </w:tcMar>
            <w:vAlign w:val="bottom"/>
          </w:tcPr>
          <w:p w:rsidR="00000000" w:rsidDel="00000000" w:rsidP="00000000" w:rsidRDefault="00000000" w:rsidRPr="00000000" w14:paraId="000000B4">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w:t>
            </w:r>
          </w:p>
        </w:tc>
        <w:tc>
          <w:tcPr>
            <w:tcBorders>
              <w:top w:color="000000" w:space="0" w:sz="8" w:val="single"/>
              <w:left w:color="ffffff" w:space="0" w:sz="6" w:val="single"/>
              <w:bottom w:color="000000" w:space="0" w:sz="8" w:val="single"/>
              <w:right w:color="ffffff" w:space="0" w:sz="6" w:val="single"/>
            </w:tcBorders>
            <w:tcMar>
              <w:top w:w="0.0" w:type="dxa"/>
              <w:left w:w="100.0" w:type="dxa"/>
              <w:bottom w:w="0.0" w:type="dxa"/>
              <w:right w:w="100.0" w:type="dxa"/>
            </w:tcMar>
            <w:vAlign w:val="bottom"/>
          </w:tcPr>
          <w:p w:rsidR="00000000" w:rsidDel="00000000" w:rsidP="00000000" w:rsidRDefault="00000000" w:rsidRPr="00000000" w14:paraId="000000B5">
            <w:pPr>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AUC</w:t>
            </w:r>
          </w:p>
        </w:tc>
      </w:tr>
      <w:tr>
        <w:trPr>
          <w:cantSplit w:val="0"/>
          <w:trHeight w:val="210" w:hRule="atLeast"/>
          <w:tblHeader w:val="0"/>
        </w:trPr>
        <w:tc>
          <w:tcPr>
            <w:tcBorders>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M1. Phonological test</w:t>
            </w:r>
          </w:p>
        </w:tc>
        <w:tc>
          <w:tcPr>
            <w:tcBorders>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0.696</w:t>
            </w:r>
          </w:p>
        </w:tc>
      </w:tr>
      <w:tr>
        <w:trPr>
          <w:cantSplit w:val="0"/>
          <w:trHeight w:val="240" w:hRule="atLeast"/>
          <w:tblHeader w:val="0"/>
        </w:trPr>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M2. Visual test</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0.634</w:t>
            </w:r>
          </w:p>
        </w:tc>
      </w:tr>
      <w:tr>
        <w:trPr>
          <w:cantSplit w:val="0"/>
          <w:trHeight w:val="255" w:hRule="atLeast"/>
          <w:tblHeader w:val="0"/>
        </w:trPr>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 Words reading test</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0.771</w:t>
            </w:r>
          </w:p>
        </w:tc>
      </w:tr>
      <w:tr>
        <w:trPr>
          <w:cantSplit w:val="0"/>
          <w:trHeight w:val="240" w:hRule="atLeast"/>
          <w:tblHeader w:val="0"/>
        </w:trPr>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M4. Pseudowords reading test</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0.678</w:t>
            </w:r>
          </w:p>
        </w:tc>
      </w:tr>
      <w:tr>
        <w:trPr>
          <w:cantSplit w:val="0"/>
          <w:trHeight w:val="195" w:hRule="atLeast"/>
          <w:tblHeader w:val="0"/>
        </w:trPr>
        <w:tc>
          <w:tcPr>
            <w:tcBorders>
              <w:top w:color="ffffff" w:space="0" w:sz="6" w:val="single"/>
              <w:left w:color="ffffff" w:space="0" w:sz="6" w:val="single"/>
              <w:bottom w:color="000000" w:space="0" w:sz="0" w:val="nil"/>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M5. Text reading test</w:t>
            </w:r>
          </w:p>
        </w:tc>
        <w:tc>
          <w:tcPr>
            <w:tcBorders>
              <w:top w:color="ffffff" w:space="0" w:sz="6" w:val="single"/>
              <w:left w:color="ffffff" w:space="0" w:sz="6" w:val="single"/>
              <w:bottom w:color="000000" w:space="0" w:sz="0" w:val="nil"/>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0.707</w:t>
            </w:r>
          </w:p>
        </w:tc>
      </w:tr>
      <w:tr>
        <w:trPr>
          <w:cantSplit w:val="0"/>
          <w:trHeight w:val="195" w:hRule="atLeast"/>
          <w:tblHeader w:val="0"/>
        </w:trPr>
        <w:tc>
          <w:tcPr>
            <w:tcBorders>
              <w:top w:color="000000" w:space="0" w:sz="0" w:val="nil"/>
              <w:left w:color="ffffff" w:space="0" w:sz="6" w:val="single"/>
              <w:bottom w:color="000000" w:space="0" w:sz="8"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M6. Text comprehension score</w:t>
            </w:r>
          </w:p>
        </w:tc>
        <w:tc>
          <w:tcPr>
            <w:tcBorders>
              <w:top w:color="000000" w:space="0" w:sz="0" w:val="nil"/>
              <w:left w:color="ffffff" w:space="0" w:sz="6" w:val="single"/>
              <w:bottom w:color="000000" w:space="0" w:sz="8"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0.646</w:t>
            </w:r>
          </w:p>
        </w:tc>
      </w:tr>
    </w:tbl>
    <w:p w:rsidR="00000000" w:rsidDel="00000000" w:rsidP="00000000" w:rsidRDefault="00000000" w:rsidRPr="00000000" w14:paraId="000000C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Table 6 The indicators from the confusion matrices for all six models</w:t>
      </w:r>
      <w:r w:rsidDel="00000000" w:rsidR="00000000" w:rsidRPr="00000000">
        <w:rPr>
          <w:rtl w:val="0"/>
        </w:rPr>
      </w:r>
    </w:p>
    <w:tbl>
      <w:tblPr>
        <w:tblStyle w:val="Table6"/>
        <w:tblW w:w="9450.0" w:type="dxa"/>
        <w:jc w:val="left"/>
        <w:tblInd w:w="-40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80"/>
        <w:gridCol w:w="1095"/>
        <w:gridCol w:w="1335"/>
        <w:gridCol w:w="1110"/>
        <w:gridCol w:w="1110"/>
        <w:gridCol w:w="1110"/>
        <w:gridCol w:w="1410"/>
        <w:tblGridChange w:id="0">
          <w:tblGrid>
            <w:gridCol w:w="2280"/>
            <w:gridCol w:w="1095"/>
            <w:gridCol w:w="1335"/>
            <w:gridCol w:w="1110"/>
            <w:gridCol w:w="1110"/>
            <w:gridCol w:w="1110"/>
            <w:gridCol w:w="1410"/>
          </w:tblGrid>
        </w:tblGridChange>
      </w:tblGrid>
      <w:tr>
        <w:trPr>
          <w:cantSplit w:val="0"/>
          <w:trHeight w:val="600" w:hRule="atLeast"/>
          <w:tblHeader w:val="0"/>
        </w:trPr>
        <w:tc>
          <w:tcPr>
            <w:tcBorders>
              <w:top w:color="000000" w:space="0" w:sz="8" w:val="single"/>
              <w:left w:color="ffffff" w:space="0" w:sz="6" w:val="single"/>
              <w:bottom w:color="000000" w:space="0" w:sz="8" w:val="single"/>
              <w:right w:color="ffffff" w:space="0" w:sz="6" w:val="single"/>
            </w:tcBorders>
            <w:tcMar>
              <w:top w:w="0.0" w:type="dxa"/>
              <w:left w:w="100.0" w:type="dxa"/>
              <w:bottom w:w="0.0" w:type="dxa"/>
              <w:right w:w="100.0" w:type="dxa"/>
            </w:tcMar>
            <w:vAlign w:val="bottom"/>
          </w:tcPr>
          <w:p w:rsidR="00000000" w:rsidDel="00000000" w:rsidP="00000000" w:rsidRDefault="00000000" w:rsidRPr="00000000" w14:paraId="000000C4">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Models</w:t>
            </w:r>
          </w:p>
        </w:tc>
        <w:tc>
          <w:tcPr>
            <w:tcBorders>
              <w:top w:color="000000" w:space="0" w:sz="8" w:val="single"/>
              <w:left w:color="ffffff" w:space="0" w:sz="6" w:val="single"/>
              <w:bottom w:color="000000" w:space="0" w:sz="8" w:val="single"/>
              <w:right w:color="ffffff" w:space="0" w:sz="6" w:val="single"/>
            </w:tcBorders>
            <w:tcMar>
              <w:top w:w="0.0" w:type="dxa"/>
              <w:left w:w="100.0" w:type="dxa"/>
              <w:bottom w:w="0.0" w:type="dxa"/>
              <w:right w:w="100.0" w:type="dxa"/>
            </w:tcMar>
            <w:vAlign w:val="bottom"/>
          </w:tcPr>
          <w:p w:rsidR="00000000" w:rsidDel="00000000" w:rsidP="00000000" w:rsidRDefault="00000000" w:rsidRPr="00000000" w14:paraId="000000C5">
            <w:pPr>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True positive</w:t>
            </w:r>
          </w:p>
        </w:tc>
        <w:tc>
          <w:tcPr>
            <w:tcBorders>
              <w:top w:color="000000" w:space="0" w:sz="8" w:val="single"/>
              <w:left w:color="ffffff" w:space="0" w:sz="6" w:val="single"/>
              <w:bottom w:color="000000" w:space="0" w:sz="8" w:val="single"/>
              <w:right w:color="ffffff" w:space="0" w:sz="6" w:val="single"/>
            </w:tcBorders>
            <w:tcMar>
              <w:top w:w="0.0" w:type="dxa"/>
              <w:left w:w="100.0" w:type="dxa"/>
              <w:bottom w:w="0.0" w:type="dxa"/>
              <w:right w:w="100.0" w:type="dxa"/>
            </w:tcMar>
            <w:vAlign w:val="bottom"/>
          </w:tcPr>
          <w:p w:rsidR="00000000" w:rsidDel="00000000" w:rsidP="00000000" w:rsidRDefault="00000000" w:rsidRPr="00000000" w14:paraId="000000C6">
            <w:pPr>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False negative</w:t>
            </w:r>
          </w:p>
        </w:tc>
        <w:tc>
          <w:tcPr>
            <w:tcBorders>
              <w:top w:color="000000" w:space="0" w:sz="8" w:val="single"/>
              <w:left w:color="ffffff" w:space="0" w:sz="6" w:val="single"/>
              <w:bottom w:color="000000" w:space="0" w:sz="8" w:val="single"/>
              <w:right w:color="ffffff" w:space="0" w:sz="6" w:val="single"/>
            </w:tcBorders>
            <w:tcMar>
              <w:top w:w="0.0" w:type="dxa"/>
              <w:left w:w="100.0" w:type="dxa"/>
              <w:bottom w:w="0.0" w:type="dxa"/>
              <w:right w:w="100.0" w:type="dxa"/>
            </w:tcMar>
            <w:vAlign w:val="bottom"/>
          </w:tcPr>
          <w:p w:rsidR="00000000" w:rsidDel="00000000" w:rsidP="00000000" w:rsidRDefault="00000000" w:rsidRPr="00000000" w14:paraId="000000C7">
            <w:pPr>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True negative</w:t>
            </w:r>
          </w:p>
        </w:tc>
        <w:tc>
          <w:tcPr>
            <w:tcBorders>
              <w:top w:color="000000" w:space="0" w:sz="8" w:val="single"/>
              <w:left w:color="ffffff" w:space="0" w:sz="6" w:val="single"/>
              <w:bottom w:color="000000" w:space="0" w:sz="8" w:val="single"/>
              <w:right w:color="ffffff" w:space="0" w:sz="6" w:val="single"/>
            </w:tcBorders>
            <w:tcMar>
              <w:top w:w="0.0" w:type="dxa"/>
              <w:left w:w="100.0" w:type="dxa"/>
              <w:bottom w:w="0.0" w:type="dxa"/>
              <w:right w:w="100.0" w:type="dxa"/>
            </w:tcMar>
            <w:vAlign w:val="bottom"/>
          </w:tcPr>
          <w:p w:rsidR="00000000" w:rsidDel="00000000" w:rsidP="00000000" w:rsidRDefault="00000000" w:rsidRPr="00000000" w14:paraId="000000C8">
            <w:pPr>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False positive</w:t>
            </w:r>
          </w:p>
        </w:tc>
        <w:tc>
          <w:tcPr>
            <w:tcBorders>
              <w:top w:color="000000" w:space="0" w:sz="8" w:val="single"/>
              <w:left w:color="ffffff" w:space="0" w:sz="6" w:val="single"/>
              <w:bottom w:color="000000" w:space="0" w:sz="8" w:val="single"/>
              <w:right w:color="ffffff" w:space="0" w:sz="6" w:val="single"/>
            </w:tcBorders>
            <w:tcMar>
              <w:top w:w="0.0" w:type="dxa"/>
              <w:left w:w="100.0" w:type="dxa"/>
              <w:bottom w:w="0.0" w:type="dxa"/>
              <w:right w:w="100.0" w:type="dxa"/>
            </w:tcMar>
            <w:vAlign w:val="bottom"/>
          </w:tcPr>
          <w:p w:rsidR="00000000" w:rsidDel="00000000" w:rsidP="00000000" w:rsidRDefault="00000000" w:rsidRPr="00000000" w14:paraId="000000C9">
            <w:pPr>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CA">
            <w:pPr>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Sensitivity</w:t>
            </w:r>
          </w:p>
        </w:tc>
        <w:tc>
          <w:tcPr>
            <w:tcBorders>
              <w:top w:color="000000" w:space="0" w:sz="8" w:val="single"/>
              <w:left w:color="ffffff" w:space="0" w:sz="6" w:val="single"/>
              <w:bottom w:color="000000" w:space="0" w:sz="8" w:val="single"/>
              <w:right w:color="ffffff" w:space="0" w:sz="6" w:val="single"/>
            </w:tcBorders>
            <w:tcMar>
              <w:top w:w="0.0" w:type="dxa"/>
              <w:left w:w="100.0" w:type="dxa"/>
              <w:bottom w:w="0.0" w:type="dxa"/>
              <w:right w:w="100.0" w:type="dxa"/>
            </w:tcMar>
            <w:vAlign w:val="bottom"/>
          </w:tcPr>
          <w:p w:rsidR="00000000" w:rsidDel="00000000" w:rsidP="00000000" w:rsidRDefault="00000000" w:rsidRPr="00000000" w14:paraId="000000CB">
            <w:pPr>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Specificity</w:t>
            </w:r>
          </w:p>
        </w:tc>
      </w:tr>
      <w:tr>
        <w:trPr>
          <w:cantSplit w:val="0"/>
          <w:trHeight w:val="480" w:hRule="atLeast"/>
          <w:tblHeader w:val="0"/>
        </w:trPr>
        <w:tc>
          <w:tcPr>
            <w:tcBorders>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M1. Phonological test</w:t>
            </w:r>
          </w:p>
        </w:tc>
        <w:tc>
          <w:tcPr>
            <w:tcBorders>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55</w:t>
            </w:r>
          </w:p>
        </w:tc>
        <w:tc>
          <w:tcPr>
            <w:tcBorders>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c>
          <w:tcPr>
            <w:tcBorders>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0.40</w:t>
            </w:r>
          </w:p>
        </w:tc>
        <w:tc>
          <w:tcPr>
            <w:tcBorders>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0.80</w:t>
            </w:r>
          </w:p>
        </w:tc>
      </w:tr>
      <w:tr>
        <w:trPr>
          <w:cantSplit w:val="0"/>
          <w:trHeight w:val="465" w:hRule="atLeast"/>
          <w:tblHeader w:val="0"/>
        </w:trPr>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M2. Visual test</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0.50</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0.85</w:t>
            </w:r>
          </w:p>
        </w:tc>
      </w:tr>
      <w:tr>
        <w:trPr>
          <w:cantSplit w:val="0"/>
          <w:trHeight w:val="465" w:hRule="atLeast"/>
          <w:tblHeader w:val="0"/>
        </w:trPr>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 Words reading test</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55</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0.40</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0.80</w:t>
            </w:r>
          </w:p>
        </w:tc>
      </w:tr>
      <w:tr>
        <w:trPr>
          <w:cantSplit w:val="0"/>
          <w:trHeight w:val="465" w:hRule="atLeast"/>
          <w:tblHeader w:val="0"/>
        </w:trPr>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M4. Pseudowords reading test</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0.50</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0.79</w:t>
            </w:r>
          </w:p>
        </w:tc>
      </w:tr>
      <w:tr>
        <w:trPr>
          <w:cantSplit w:val="0"/>
          <w:trHeight w:val="480" w:hRule="atLeast"/>
          <w:tblHeader w:val="0"/>
        </w:trPr>
        <w:tc>
          <w:tcPr>
            <w:tcBorders>
              <w:top w:color="ffffff" w:space="0" w:sz="6" w:val="single"/>
              <w:left w:color="ffffff" w:space="0" w:sz="6" w:val="single"/>
              <w:bottom w:color="000000" w:space="0" w:sz="0" w:val="nil"/>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M5. Text reading test</w:t>
            </w:r>
          </w:p>
        </w:tc>
        <w:tc>
          <w:tcPr>
            <w:tcBorders>
              <w:top w:color="ffffff" w:space="0" w:sz="6" w:val="single"/>
              <w:left w:color="ffffff" w:space="0" w:sz="6" w:val="single"/>
              <w:bottom w:color="000000" w:space="0" w:sz="0" w:val="nil"/>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6" w:val="single"/>
              <w:left w:color="ffffff" w:space="0" w:sz="6" w:val="single"/>
              <w:bottom w:color="000000" w:space="0" w:sz="0" w:val="nil"/>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ffffff" w:space="0" w:sz="6" w:val="single"/>
              <w:left w:color="ffffff" w:space="0" w:sz="6" w:val="single"/>
              <w:bottom w:color="000000" w:space="0" w:sz="0" w:val="nil"/>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55</w:t>
            </w:r>
          </w:p>
        </w:tc>
        <w:tc>
          <w:tcPr>
            <w:tcBorders>
              <w:top w:color="ffffff" w:space="0" w:sz="6" w:val="single"/>
              <w:left w:color="ffffff" w:space="0" w:sz="6" w:val="single"/>
              <w:bottom w:color="000000" w:space="0" w:sz="0" w:val="nil"/>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top w:color="ffffff" w:space="0" w:sz="6" w:val="single"/>
              <w:left w:color="ffffff" w:space="0" w:sz="6" w:val="single"/>
              <w:bottom w:color="000000" w:space="0" w:sz="0" w:val="nil"/>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0.25</w:t>
            </w:r>
          </w:p>
        </w:tc>
        <w:tc>
          <w:tcPr>
            <w:tcBorders>
              <w:top w:color="ffffff" w:space="0" w:sz="6" w:val="single"/>
              <w:left w:color="ffffff" w:space="0" w:sz="6" w:val="single"/>
              <w:bottom w:color="000000" w:space="0" w:sz="0" w:val="nil"/>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0.79</w:t>
            </w:r>
          </w:p>
        </w:tc>
      </w:tr>
      <w:tr>
        <w:trPr>
          <w:cantSplit w:val="0"/>
          <w:trHeight w:val="480" w:hRule="atLeast"/>
          <w:tblHeader w:val="0"/>
        </w:trPr>
        <w:tc>
          <w:tcPr>
            <w:tcBorders>
              <w:top w:color="000000" w:space="0" w:sz="0" w:val="nil"/>
              <w:left w:color="ffffff" w:space="0" w:sz="6" w:val="single"/>
              <w:bottom w:color="000000" w:space="0" w:sz="8"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M6. Text comprehension score</w:t>
            </w:r>
          </w:p>
        </w:tc>
        <w:tc>
          <w:tcPr>
            <w:tcBorders>
              <w:top w:color="000000" w:space="0" w:sz="0" w:val="nil"/>
              <w:left w:color="ffffff" w:space="0" w:sz="6" w:val="single"/>
              <w:bottom w:color="000000" w:space="0" w:sz="8"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000000" w:space="0" w:sz="0" w:val="nil"/>
              <w:left w:color="ffffff" w:space="0" w:sz="6" w:val="single"/>
              <w:bottom w:color="000000" w:space="0" w:sz="8"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w:t>
            </w:r>
          </w:p>
        </w:tc>
        <w:tc>
          <w:tcPr>
            <w:tcBorders>
              <w:top w:color="000000" w:space="0" w:sz="0" w:val="nil"/>
              <w:left w:color="ffffff" w:space="0" w:sz="6" w:val="single"/>
              <w:bottom w:color="000000" w:space="0" w:sz="8"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w:t>
            </w:r>
          </w:p>
        </w:tc>
        <w:tc>
          <w:tcPr>
            <w:tcBorders>
              <w:top w:color="000000" w:space="0" w:sz="0" w:val="nil"/>
              <w:left w:color="ffffff" w:space="0" w:sz="6" w:val="single"/>
              <w:bottom w:color="000000" w:space="0" w:sz="8"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ffffff" w:space="0" w:sz="6" w:val="single"/>
              <w:bottom w:color="000000" w:space="0" w:sz="8"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0.36</w:t>
            </w:r>
          </w:p>
        </w:tc>
        <w:tc>
          <w:tcPr>
            <w:tcBorders>
              <w:top w:color="000000" w:space="0" w:sz="0" w:val="nil"/>
              <w:left w:color="ffffff" w:space="0" w:sz="6" w:val="single"/>
              <w:bottom w:color="000000" w:space="0" w:sz="8"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0.87</w:t>
            </w:r>
          </w:p>
        </w:tc>
      </w:tr>
    </w:tbl>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spacing w:line="480" w:lineRule="auto"/>
        <w:rPr>
          <w:rFonts w:ascii="Times New Roman" w:cs="Times New Roman" w:eastAsia="Times New Roman" w:hAnsi="Times New Roman"/>
          <w:sz w:val="24"/>
          <w:szCs w:val="24"/>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