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0E" w:rsidRPr="007F650E" w:rsidRDefault="007F650E" w:rsidP="007F65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</w:rPr>
      </w:pPr>
      <w:r w:rsidRPr="007F650E">
        <w:rPr>
          <w:rFonts w:ascii="Arial" w:eastAsia="Times New Roman" w:hAnsi="Arial" w:cs="Arial"/>
          <w:b/>
          <w:bCs/>
          <w:color w:val="252C33"/>
          <w:sz w:val="36"/>
          <w:szCs w:val="36"/>
        </w:rPr>
        <w:t>Events Sequence Prediction</w:t>
      </w:r>
    </w:p>
    <w:p w:rsidR="007F650E" w:rsidRPr="007F650E" w:rsidRDefault="007F650E" w:rsidP="007F65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</w:rPr>
      </w:pPr>
      <w:r w:rsidRPr="007F650E">
        <w:rPr>
          <w:rFonts w:ascii="Arial" w:eastAsia="Times New Roman" w:hAnsi="Arial" w:cs="Arial"/>
          <w:color w:val="9CA3A8"/>
          <w:sz w:val="18"/>
          <w:szCs w:val="18"/>
        </w:rPr>
        <w:t>Max. Marks: 1</w:t>
      </w:r>
    </w:p>
    <w:p w:rsidR="007F650E" w:rsidRPr="007F650E" w:rsidRDefault="007F650E" w:rsidP="007F650E">
      <w:pPr>
        <w:shd w:val="clear" w:color="auto" w:fill="FFFCDF"/>
        <w:spacing w:after="150" w:line="240" w:lineRule="auto"/>
        <w:rPr>
          <w:rFonts w:ascii="Arial" w:eastAsia="Times New Roman" w:hAnsi="Arial" w:cs="Arial"/>
          <w:color w:val="46535E"/>
          <w:sz w:val="18"/>
          <w:szCs w:val="18"/>
        </w:rPr>
      </w:pPr>
      <w:r w:rsidRPr="007F650E">
        <w:rPr>
          <w:rFonts w:ascii="Arial" w:eastAsia="Times New Roman" w:hAnsi="Arial" w:cs="Arial"/>
          <w:color w:val="46535E"/>
          <w:sz w:val="18"/>
          <w:szCs w:val="18"/>
        </w:rPr>
        <w:t>This problem is no longer available for practice. Apology for any inconvenience!</w:t>
      </w:r>
    </w:p>
    <w:p w:rsidR="007F650E" w:rsidRPr="007F650E" w:rsidRDefault="007F650E" w:rsidP="007F65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  <w:r w:rsidRPr="007F650E">
        <w:rPr>
          <w:rFonts w:ascii="Arial" w:eastAsia="Times New Roman" w:hAnsi="Arial" w:cs="Arial"/>
          <w:color w:val="000000"/>
          <w:sz w:val="15"/>
          <w:szCs w:val="15"/>
        </w:rPr>
        <w:pict>
          <v:rect id="_x0000_i1025" style="width:598.5pt;height:.75pt" o:hrpct="0" o:hralign="center" o:hrstd="t" o:hr="t" fillcolor="#a0a0a0" stroked="f"/>
        </w:pict>
      </w: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7F650E">
        <w:rPr>
          <w:rFonts w:ascii="Arial" w:eastAsia="Times New Roman" w:hAnsi="Arial" w:cs="Arial"/>
          <w:b/>
          <w:bCs/>
          <w:color w:val="252C33"/>
          <w:sz w:val="27"/>
          <w:szCs w:val="27"/>
        </w:rPr>
        <w:t>Problem Statement</w:t>
      </w: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proofErr w:type="spellStart"/>
      <w:r w:rsidRPr="007F650E">
        <w:rPr>
          <w:rFonts w:ascii="Arial" w:eastAsia="Times New Roman" w:hAnsi="Arial" w:cs="Arial"/>
          <w:color w:val="252C33"/>
          <w:sz w:val="21"/>
          <w:szCs w:val="21"/>
        </w:rPr>
        <w:t>Medaplexis</w:t>
      </w:r>
      <w:proofErr w:type="spellEnd"/>
      <w:r w:rsidRPr="007F650E">
        <w:rPr>
          <w:rFonts w:ascii="Arial" w:eastAsia="Times New Roman" w:hAnsi="Arial" w:cs="Arial"/>
          <w:color w:val="252C33"/>
          <w:sz w:val="21"/>
          <w:szCs w:val="21"/>
        </w:rPr>
        <w:t xml:space="preserve">, a premium payer wants to improve the medical care using Machine Learning. They want to predict next events of Diagnosis, Procedure or Treatment that is going to be </w:t>
      </w:r>
      <w:proofErr w:type="gramStart"/>
      <w:r w:rsidRPr="007F650E">
        <w:rPr>
          <w:rFonts w:ascii="Arial" w:eastAsia="Times New Roman" w:hAnsi="Arial" w:cs="Arial"/>
          <w:color w:val="252C33"/>
          <w:sz w:val="21"/>
          <w:szCs w:val="21"/>
        </w:rPr>
        <w:t>happen</w:t>
      </w:r>
      <w:proofErr w:type="gramEnd"/>
      <w:r w:rsidRPr="007F650E">
        <w:rPr>
          <w:rFonts w:ascii="Arial" w:eastAsia="Times New Roman" w:hAnsi="Arial" w:cs="Arial"/>
          <w:color w:val="252C33"/>
          <w:sz w:val="21"/>
          <w:szCs w:val="21"/>
        </w:rPr>
        <w:t xml:space="preserve"> to patients. They've provided with patient journey information coded using ICD9. The detail reference for ICD9 can be found </w:t>
      </w:r>
      <w:hyperlink r:id="rId5" w:history="1">
        <w:r w:rsidRPr="007F650E">
          <w:rPr>
            <w:rFonts w:ascii="Arial" w:eastAsia="Times New Roman" w:hAnsi="Arial" w:cs="Arial"/>
            <w:color w:val="4C9CDF"/>
            <w:sz w:val="21"/>
            <w:szCs w:val="21"/>
          </w:rPr>
          <w:t>here</w:t>
        </w:r>
      </w:hyperlink>
      <w:r w:rsidRPr="007F650E">
        <w:rPr>
          <w:rFonts w:ascii="Arial" w:eastAsia="Times New Roman" w:hAnsi="Arial" w:cs="Arial"/>
          <w:color w:val="252C33"/>
          <w:sz w:val="21"/>
          <w:szCs w:val="21"/>
        </w:rPr>
        <w:t> .</w:t>
      </w: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7F650E">
        <w:rPr>
          <w:rFonts w:ascii="Arial" w:eastAsia="Times New Roman" w:hAnsi="Arial" w:cs="Arial"/>
          <w:color w:val="252C33"/>
          <w:sz w:val="21"/>
          <w:szCs w:val="21"/>
        </w:rPr>
        <w:t>In this challenge, you have to predict the next 10 events reported by patient in order of occurrence in 2014.</w:t>
      </w: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hyperlink r:id="rId6" w:history="1">
        <w:r w:rsidRPr="007F650E">
          <w:rPr>
            <w:rFonts w:ascii="Arial" w:eastAsia="Times New Roman" w:hAnsi="Arial" w:cs="Arial"/>
            <w:b/>
            <w:bCs/>
            <w:color w:val="4C9CDF"/>
            <w:sz w:val="27"/>
            <w:szCs w:val="27"/>
          </w:rPr>
          <w:t>Download Dataset</w:t>
        </w:r>
      </w:hyperlink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7F650E">
        <w:rPr>
          <w:rFonts w:ascii="Arial" w:eastAsia="Times New Roman" w:hAnsi="Arial" w:cs="Arial"/>
          <w:b/>
          <w:bCs/>
          <w:color w:val="252C33"/>
          <w:sz w:val="27"/>
          <w:szCs w:val="27"/>
        </w:rPr>
        <w:t>Data Description</w:t>
      </w: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7F650E">
        <w:rPr>
          <w:rFonts w:ascii="Arial" w:eastAsia="Times New Roman" w:hAnsi="Arial" w:cs="Arial"/>
          <w:color w:val="252C33"/>
          <w:sz w:val="21"/>
          <w:szCs w:val="21"/>
        </w:rPr>
        <w:t>There are three files given to download: train.csv, test.csv and sample_submission.csv </w:t>
      </w:r>
      <w:r w:rsidRPr="007F650E">
        <w:rPr>
          <w:rFonts w:ascii="Arial" w:eastAsia="Times New Roman" w:hAnsi="Arial" w:cs="Arial"/>
          <w:color w:val="252C33"/>
          <w:sz w:val="21"/>
          <w:szCs w:val="21"/>
        </w:rPr>
        <w:br/>
      </w:r>
      <w:proofErr w:type="gramStart"/>
      <w:r w:rsidRPr="007F650E">
        <w:rPr>
          <w:rFonts w:ascii="Arial" w:eastAsia="Times New Roman" w:hAnsi="Arial" w:cs="Arial"/>
          <w:color w:val="252C33"/>
          <w:sz w:val="21"/>
          <w:szCs w:val="21"/>
        </w:rPr>
        <w:t>The</w:t>
      </w:r>
      <w:proofErr w:type="gramEnd"/>
      <w:r w:rsidRPr="007F650E">
        <w:rPr>
          <w:rFonts w:ascii="Arial" w:eastAsia="Times New Roman" w:hAnsi="Arial" w:cs="Arial"/>
          <w:color w:val="252C33"/>
          <w:sz w:val="21"/>
          <w:szCs w:val="21"/>
        </w:rPr>
        <w:t xml:space="preserve"> train data consists of patients information from Jan 2011 to Dec 2013. The test data consists of Patient IDs for the year 2014.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4482"/>
      </w:tblGrid>
      <w:tr w:rsidR="007F650E" w:rsidRPr="007F650E" w:rsidTr="007F650E">
        <w:trPr>
          <w:tblHeader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650E" w:rsidRPr="007F650E" w:rsidTr="007F650E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ID</w:t>
            </w:r>
          </w:p>
        </w:tc>
      </w:tr>
      <w:tr w:rsidR="007F650E" w:rsidRPr="007F650E" w:rsidTr="007F650E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Diagnosis</w:t>
            </w:r>
          </w:p>
        </w:tc>
      </w:tr>
      <w:tr w:rsidR="007F650E" w:rsidRPr="007F650E" w:rsidTr="007F650E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Event ID (ICD9 Format) - Target Variable</w:t>
            </w:r>
          </w:p>
        </w:tc>
      </w:tr>
    </w:tbl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7F650E">
        <w:rPr>
          <w:rFonts w:ascii="Arial" w:eastAsia="Times New Roman" w:hAnsi="Arial" w:cs="Arial"/>
          <w:b/>
          <w:bCs/>
          <w:color w:val="252C33"/>
          <w:sz w:val="27"/>
          <w:szCs w:val="27"/>
        </w:rPr>
        <w:t>Submission</w:t>
      </w: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7F650E">
        <w:rPr>
          <w:rFonts w:ascii="Arial" w:eastAsia="Times New Roman" w:hAnsi="Arial" w:cs="Arial"/>
          <w:color w:val="252C33"/>
          <w:sz w:val="21"/>
          <w:szCs w:val="21"/>
        </w:rPr>
        <w:t>A participant has to submit a .</w:t>
      </w:r>
      <w:proofErr w:type="spellStart"/>
      <w:r w:rsidRPr="007F650E">
        <w:rPr>
          <w:rFonts w:ascii="Arial" w:eastAsia="Times New Roman" w:hAnsi="Arial" w:cs="Arial"/>
          <w:color w:val="252C33"/>
          <w:sz w:val="21"/>
          <w:szCs w:val="21"/>
        </w:rPr>
        <w:t>csv</w:t>
      </w:r>
      <w:proofErr w:type="spellEnd"/>
      <w:r w:rsidRPr="007F650E">
        <w:rPr>
          <w:rFonts w:ascii="Arial" w:eastAsia="Times New Roman" w:hAnsi="Arial" w:cs="Arial"/>
          <w:color w:val="252C33"/>
          <w:sz w:val="21"/>
          <w:szCs w:val="21"/>
        </w:rPr>
        <w:t xml:space="preserve"> file with PID and predicted events in order of </w:t>
      </w:r>
      <w:proofErr w:type="spellStart"/>
      <w:r w:rsidRPr="007F650E">
        <w:rPr>
          <w:rFonts w:ascii="Arial" w:eastAsia="Times New Roman" w:hAnsi="Arial" w:cs="Arial"/>
          <w:color w:val="252C33"/>
          <w:sz w:val="21"/>
          <w:szCs w:val="21"/>
        </w:rPr>
        <w:t>recency</w:t>
      </w:r>
      <w:proofErr w:type="spellEnd"/>
      <w:r w:rsidRPr="007F650E">
        <w:rPr>
          <w:rFonts w:ascii="Arial" w:eastAsia="Times New Roman" w:hAnsi="Arial" w:cs="Arial"/>
          <w:color w:val="252C33"/>
          <w:sz w:val="21"/>
          <w:szCs w:val="21"/>
        </w:rPr>
        <w:t>. Check the sample submission file for reference.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966"/>
        <w:gridCol w:w="966"/>
        <w:gridCol w:w="966"/>
        <w:gridCol w:w="965"/>
        <w:gridCol w:w="965"/>
        <w:gridCol w:w="965"/>
        <w:gridCol w:w="965"/>
        <w:gridCol w:w="965"/>
        <w:gridCol w:w="965"/>
      </w:tblGrid>
      <w:tr w:rsidR="007F650E" w:rsidRPr="007F650E" w:rsidTr="007F650E">
        <w:trPr>
          <w:tblHeader/>
        </w:trPr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PID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Event1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Event2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Event3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Event4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Event5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Event7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Event8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Event9</w:t>
            </w:r>
          </w:p>
        </w:tc>
      </w:tr>
      <w:tr w:rsidR="007F650E" w:rsidRPr="007F650E" w:rsidTr="007F650E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1028890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2605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2382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3222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2761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1809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3620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2781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2178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7132</w:t>
            </w:r>
          </w:p>
        </w:tc>
      </w:tr>
      <w:tr w:rsidR="007F650E" w:rsidRPr="007F650E" w:rsidTr="007F650E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1021443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3786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3553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2706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3553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3786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2706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3553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3786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2706</w:t>
            </w:r>
          </w:p>
        </w:tc>
      </w:tr>
      <w:tr w:rsidR="007F650E" w:rsidRPr="007F650E" w:rsidTr="007F650E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1016194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2605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2382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3222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2761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1809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3620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2781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2178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7132</w:t>
            </w:r>
          </w:p>
        </w:tc>
      </w:tr>
      <w:tr w:rsidR="007F650E" w:rsidRPr="007F650E" w:rsidTr="007F650E"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1017298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2706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3553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2706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3553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3786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2706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3553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3786</w:t>
            </w:r>
          </w:p>
        </w:tc>
        <w:tc>
          <w:tcPr>
            <w:tcW w:w="0" w:type="auto"/>
            <w:tcBorders>
              <w:top w:val="single" w:sz="6" w:space="0" w:color="B8B8B8"/>
              <w:left w:val="single" w:sz="6" w:space="0" w:color="B8B8B8"/>
              <w:bottom w:val="single" w:sz="6" w:space="0" w:color="B8B8B8"/>
              <w:right w:val="single" w:sz="6" w:space="0" w:color="B8B8B8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F650E" w:rsidRPr="007F650E" w:rsidRDefault="007F650E" w:rsidP="007F650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50E">
              <w:rPr>
                <w:rFonts w:ascii="Times New Roman" w:eastAsia="Times New Roman" w:hAnsi="Times New Roman" w:cs="Times New Roman"/>
                <w:sz w:val="24"/>
                <w:szCs w:val="24"/>
              </w:rPr>
              <w:t>2706</w:t>
            </w:r>
          </w:p>
        </w:tc>
      </w:tr>
    </w:tbl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7F650E">
        <w:rPr>
          <w:rFonts w:ascii="Arial" w:eastAsia="Times New Roman" w:hAnsi="Arial" w:cs="Arial"/>
          <w:b/>
          <w:bCs/>
          <w:color w:val="252C33"/>
          <w:sz w:val="27"/>
          <w:szCs w:val="27"/>
        </w:rPr>
        <w:t>Evaluation Metric</w:t>
      </w: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7F650E">
        <w:rPr>
          <w:rFonts w:ascii="Arial" w:eastAsia="Times New Roman" w:hAnsi="Arial" w:cs="Arial"/>
          <w:color w:val="252C33"/>
          <w:sz w:val="21"/>
          <w:szCs w:val="21"/>
        </w:rPr>
        <w:t>The evaluation matrix (Final Leaderboard score) for this competition is mean NDCG (Normalized discounted cumulative gain)@K where K=10. NDGC is calculated as:</w:t>
      </w:r>
    </w:p>
    <w:p w:rsidR="007F650E" w:rsidRPr="007F650E" w:rsidRDefault="007F650E" w:rsidP="007F650E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proofErr w:type="spellStart"/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nDCG</w:t>
      </w:r>
      <w:proofErr w:type="spellEnd"/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(</w:t>
      </w:r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k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)=</w:t>
      </w:r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DCG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(</w:t>
      </w:r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k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)/(</w:t>
      </w:r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IDCG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(</w:t>
      </w:r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k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</w:t>
      </w:r>
      <w:proofErr w:type="spellStart"/>
      <w:r w:rsidRPr="007F650E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nDCG</w:t>
      </w:r>
      <w:proofErr w:type="spellEnd"/>
      <w:r w:rsidRPr="007F650E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(k)=DCG(k)/(IDCG(k)</w:t>
      </w:r>
    </w:p>
    <w:p w:rsidR="007F650E" w:rsidRPr="007F650E" w:rsidRDefault="007F650E" w:rsidP="007F650E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proofErr w:type="gramStart"/>
      <w:r w:rsidRPr="007F650E">
        <w:rPr>
          <w:rFonts w:ascii="Arial" w:eastAsia="Times New Roman" w:hAnsi="Arial" w:cs="Arial"/>
          <w:color w:val="252C33"/>
          <w:sz w:val="21"/>
          <w:szCs w:val="21"/>
        </w:rPr>
        <w:t>where</w:t>
      </w:r>
      <w:proofErr w:type="gramEnd"/>
      <w:r w:rsidRPr="007F650E">
        <w:rPr>
          <w:rFonts w:ascii="Arial" w:eastAsia="Times New Roman" w:hAnsi="Arial" w:cs="Arial"/>
          <w:color w:val="252C33"/>
          <w:sz w:val="21"/>
          <w:szCs w:val="21"/>
        </w:rPr>
        <w:t>, </w:t>
      </w:r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DCG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(</w:t>
      </w:r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k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</w:t>
      </w:r>
      <w:r w:rsidRPr="007F650E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DCG(k)</w:t>
      </w:r>
      <w:r w:rsidRPr="007F650E">
        <w:rPr>
          <w:rFonts w:ascii="Arial" w:eastAsia="Times New Roman" w:hAnsi="Arial" w:cs="Arial"/>
          <w:color w:val="252C33"/>
          <w:sz w:val="21"/>
          <w:szCs w:val="21"/>
        </w:rPr>
        <w:t xml:space="preserve"> is Discounted Cumulative </w:t>
      </w:r>
      <w:proofErr w:type="spellStart"/>
      <w:r w:rsidRPr="007F650E">
        <w:rPr>
          <w:rFonts w:ascii="Arial" w:eastAsia="Times New Roman" w:hAnsi="Arial" w:cs="Arial"/>
          <w:color w:val="252C33"/>
          <w:sz w:val="21"/>
          <w:szCs w:val="21"/>
        </w:rPr>
        <w:t>Gain@K</w:t>
      </w:r>
      <w:proofErr w:type="spellEnd"/>
      <w:r w:rsidRPr="007F650E">
        <w:rPr>
          <w:rFonts w:ascii="Arial" w:eastAsia="Times New Roman" w:hAnsi="Arial" w:cs="Arial"/>
          <w:color w:val="252C33"/>
          <w:sz w:val="21"/>
          <w:szCs w:val="21"/>
        </w:rPr>
        <w:t xml:space="preserve"> and is computed as:</w:t>
      </w:r>
    </w:p>
    <w:p w:rsidR="007F650E" w:rsidRPr="007F650E" w:rsidRDefault="007F650E" w:rsidP="007F650E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proofErr w:type="gramStart"/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DCG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(</w:t>
      </w:r>
      <w:proofErr w:type="gramEnd"/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k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)=</w:t>
      </w:r>
      <w:r w:rsidRPr="007F650E">
        <w:rPr>
          <w:rFonts w:ascii="MJXc-TeX-size1-Rw" w:eastAsia="Times New Roman" w:hAnsi="MJXc-TeX-size1-Rw" w:cs="Arial"/>
          <w:color w:val="252C33"/>
          <w:sz w:val="25"/>
          <w:szCs w:val="25"/>
          <w:bdr w:val="none" w:sz="0" w:space="0" w:color="auto" w:frame="1"/>
        </w:rPr>
        <w:t>∑</w:t>
      </w:r>
      <w:proofErr w:type="spellStart"/>
      <w:r w:rsidRPr="007F650E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ki</w:t>
      </w:r>
      <w:proofErr w:type="spellEnd"/>
      <w:r w:rsidRPr="007F650E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=12</w:t>
      </w:r>
      <w:r w:rsidRPr="007F650E">
        <w:rPr>
          <w:rFonts w:ascii="MJXc-TeX-math-Iw" w:eastAsia="Times New Roman" w:hAnsi="MJXc-TeX-math-Iw" w:cs="Arial"/>
          <w:color w:val="252C33"/>
          <w:sz w:val="13"/>
          <w:szCs w:val="13"/>
          <w:bdr w:val="none" w:sz="0" w:space="0" w:color="auto" w:frame="1"/>
        </w:rPr>
        <w:t>reli</w:t>
      </w:r>
      <w:r w:rsidRPr="007F650E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−1</w:t>
      </w:r>
      <w:r w:rsidRPr="007F650E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log</w:t>
      </w:r>
      <w:r w:rsidRPr="007F650E">
        <w:rPr>
          <w:rFonts w:ascii="MJXc-TeX-main-Rw" w:eastAsia="Times New Roman" w:hAnsi="MJXc-TeX-main-Rw" w:cs="Arial"/>
          <w:color w:val="252C33"/>
          <w:sz w:val="13"/>
          <w:szCs w:val="13"/>
          <w:bdr w:val="none" w:sz="0" w:space="0" w:color="auto" w:frame="1"/>
        </w:rPr>
        <w:t>2</w:t>
      </w:r>
      <w:r w:rsidRPr="007F650E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(</w:t>
      </w:r>
      <w:r w:rsidRPr="007F650E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i</w:t>
      </w:r>
      <w:r w:rsidRPr="007F650E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+1)</w:t>
      </w:r>
      <w:r w:rsidRPr="007F650E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DCG(k)=∑i=1k2reli−1log2(i+1)</w:t>
      </w:r>
    </w:p>
    <w:p w:rsidR="007F650E" w:rsidRPr="007F650E" w:rsidRDefault="007F650E" w:rsidP="007F650E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proofErr w:type="gramStart"/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IDCG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(</w:t>
      </w:r>
      <w:proofErr w:type="gramEnd"/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k</w:t>
      </w:r>
      <w:r w:rsidRPr="007F650E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</w:t>
      </w:r>
      <w:r w:rsidRPr="007F650E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IDCG(k)</w:t>
      </w:r>
      <w:r w:rsidRPr="007F650E">
        <w:rPr>
          <w:rFonts w:ascii="Arial" w:eastAsia="Times New Roman" w:hAnsi="Arial" w:cs="Arial"/>
          <w:color w:val="252C33"/>
          <w:sz w:val="21"/>
          <w:szCs w:val="21"/>
        </w:rPr>
        <w:t xml:space="preserve"> is Ideal or maximum possible value attainable. The NDCG calculations are normalized </w:t>
      </w:r>
      <w:proofErr w:type="gramStart"/>
      <w:r w:rsidRPr="007F650E">
        <w:rPr>
          <w:rFonts w:ascii="Arial" w:eastAsia="Times New Roman" w:hAnsi="Arial" w:cs="Arial"/>
          <w:color w:val="252C33"/>
          <w:sz w:val="21"/>
          <w:szCs w:val="21"/>
        </w:rPr>
        <w:t>between 0.0 to 1.0</w:t>
      </w:r>
      <w:proofErr w:type="gramEnd"/>
      <w:r w:rsidRPr="007F650E">
        <w:rPr>
          <w:rFonts w:ascii="Arial" w:eastAsia="Times New Roman" w:hAnsi="Arial" w:cs="Arial"/>
          <w:color w:val="252C33"/>
          <w:sz w:val="21"/>
          <w:szCs w:val="21"/>
        </w:rPr>
        <w:t>. The </w:t>
      </w:r>
      <w:proofErr w:type="spellStart"/>
      <w:r w:rsidRPr="007F650E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rel</w:t>
      </w:r>
      <w:r w:rsidRPr="007F650E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i</w:t>
      </w:r>
      <w:r w:rsidRPr="007F650E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reli</w:t>
      </w:r>
      <w:proofErr w:type="spellEnd"/>
      <w:r w:rsidRPr="007F650E">
        <w:rPr>
          <w:rFonts w:ascii="Arial" w:eastAsia="Times New Roman" w:hAnsi="Arial" w:cs="Arial"/>
          <w:color w:val="252C33"/>
          <w:sz w:val="21"/>
          <w:szCs w:val="21"/>
        </w:rPr>
        <w:t> is relevance of prediction and is defined as:</w:t>
      </w:r>
    </w:p>
    <w:p w:rsidR="007F650E" w:rsidRPr="007F650E" w:rsidRDefault="007F650E" w:rsidP="007F65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1 if predicted event is correct @k</w:t>
      </w:r>
    </w:p>
    <w:p w:rsidR="007F650E" w:rsidRPr="007F650E" w:rsidRDefault="007F650E" w:rsidP="007F65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proofErr w:type="gramStart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min(</w:t>
      </w:r>
      <w:proofErr w:type="spellStart"/>
      <w:proofErr w:type="gramEnd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act_pos</w:t>
      </w:r>
      <w:proofErr w:type="spellEnd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/</w:t>
      </w:r>
      <w:proofErr w:type="spellStart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pred_pos</w:t>
      </w:r>
      <w:proofErr w:type="spellEnd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, </w:t>
      </w:r>
      <w:proofErr w:type="spellStart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pred_pos</w:t>
      </w:r>
      <w:proofErr w:type="spellEnd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/</w:t>
      </w:r>
      <w:proofErr w:type="spellStart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act_pos</w:t>
      </w:r>
      <w:proofErr w:type="spellEnd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) if predicted event is in top k</w:t>
      </w:r>
    </w:p>
    <w:p w:rsidR="007F650E" w:rsidRPr="007F650E" w:rsidRDefault="007F650E" w:rsidP="007F650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right="15"/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</w:pPr>
      <w:proofErr w:type="gramStart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else</w:t>
      </w:r>
      <w:proofErr w:type="gramEnd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 xml:space="preserve"> 0</w:t>
      </w:r>
    </w:p>
    <w:p w:rsidR="007F650E" w:rsidRPr="007F650E" w:rsidRDefault="007F650E" w:rsidP="007F65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proofErr w:type="gramStart"/>
      <w:r w:rsidRPr="007F650E">
        <w:rPr>
          <w:rFonts w:ascii="Arial" w:eastAsia="Times New Roman" w:hAnsi="Arial" w:cs="Arial"/>
          <w:color w:val="252C33"/>
          <w:sz w:val="21"/>
          <w:szCs w:val="21"/>
        </w:rPr>
        <w:lastRenderedPageBreak/>
        <w:t>where</w:t>
      </w:r>
      <w:proofErr w:type="gramEnd"/>
      <w:r w:rsidRPr="007F650E">
        <w:rPr>
          <w:rFonts w:ascii="Arial" w:eastAsia="Times New Roman" w:hAnsi="Arial" w:cs="Arial"/>
          <w:color w:val="252C33"/>
          <w:sz w:val="21"/>
          <w:szCs w:val="21"/>
        </w:rPr>
        <w:t>, </w:t>
      </w:r>
      <w:proofErr w:type="spellStart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act_pos</w:t>
      </w:r>
      <w:proofErr w:type="spellEnd"/>
      <w:r w:rsidRPr="007F650E">
        <w:rPr>
          <w:rFonts w:ascii="Arial" w:eastAsia="Times New Roman" w:hAnsi="Arial" w:cs="Arial"/>
          <w:color w:val="252C33"/>
          <w:sz w:val="21"/>
          <w:szCs w:val="21"/>
        </w:rPr>
        <w:t> is actual position of predicted event and </w:t>
      </w:r>
      <w:proofErr w:type="spellStart"/>
      <w:r w:rsidRPr="007F650E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</w:rPr>
        <w:t>pred_pos</w:t>
      </w:r>
      <w:proofErr w:type="spellEnd"/>
      <w:r w:rsidRPr="007F650E">
        <w:rPr>
          <w:rFonts w:ascii="Arial" w:eastAsia="Times New Roman" w:hAnsi="Arial" w:cs="Arial"/>
          <w:color w:val="252C33"/>
          <w:sz w:val="21"/>
          <w:szCs w:val="21"/>
        </w:rPr>
        <w:t> is position of predicted event. For more information on this metric, </w:t>
      </w:r>
      <w:hyperlink r:id="rId7" w:anchor="Normalized_DCG" w:history="1">
        <w:r w:rsidRPr="007F650E">
          <w:rPr>
            <w:rFonts w:ascii="Arial" w:eastAsia="Times New Roman" w:hAnsi="Arial" w:cs="Arial"/>
            <w:color w:val="4C9CDF"/>
            <w:sz w:val="21"/>
            <w:szCs w:val="21"/>
          </w:rPr>
          <w:t>read here</w:t>
        </w:r>
      </w:hyperlink>
      <w:r w:rsidRPr="007F650E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52C33"/>
          <w:sz w:val="27"/>
          <w:szCs w:val="27"/>
        </w:rPr>
      </w:pPr>
      <w:r w:rsidRPr="007F650E">
        <w:rPr>
          <w:rFonts w:ascii="Arial" w:eastAsia="Times New Roman" w:hAnsi="Arial" w:cs="Arial"/>
          <w:b/>
          <w:bCs/>
          <w:color w:val="252C33"/>
          <w:sz w:val="27"/>
          <w:szCs w:val="27"/>
        </w:rPr>
        <w:t>Submission Guidelines</w:t>
      </w:r>
    </w:p>
    <w:p w:rsidR="007F650E" w:rsidRPr="007F650E" w:rsidRDefault="007F650E" w:rsidP="007F65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7F650E">
        <w:rPr>
          <w:rFonts w:ascii="Arial" w:eastAsia="Times New Roman" w:hAnsi="Arial" w:cs="Arial"/>
          <w:color w:val="252C33"/>
          <w:sz w:val="21"/>
          <w:szCs w:val="21"/>
        </w:rPr>
        <w:t>Please make your final submission based on </w:t>
      </w:r>
      <w:hyperlink r:id="rId8" w:history="1">
        <w:r w:rsidRPr="007F650E">
          <w:rPr>
            <w:rFonts w:ascii="Arial" w:eastAsia="Times New Roman" w:hAnsi="Arial" w:cs="Arial"/>
            <w:color w:val="4C9CDF"/>
            <w:sz w:val="21"/>
            <w:szCs w:val="21"/>
          </w:rPr>
          <w:t>guidelines mentioned here</w:t>
        </w:r>
      </w:hyperlink>
      <w:r w:rsidRPr="007F650E">
        <w:rPr>
          <w:rFonts w:ascii="Arial" w:eastAsia="Times New Roman" w:hAnsi="Arial" w:cs="Arial"/>
          <w:color w:val="252C33"/>
          <w:sz w:val="21"/>
          <w:szCs w:val="21"/>
        </w:rPr>
        <w:t>. Participants failing to follow these guidelines will not be shortlisted for the next round.</w:t>
      </w:r>
    </w:p>
    <w:p w:rsidR="007F650E" w:rsidRPr="007F650E" w:rsidRDefault="007F650E" w:rsidP="007F65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7F650E">
        <w:rPr>
          <w:rFonts w:ascii="Arial" w:eastAsia="Times New Roman" w:hAnsi="Arial" w:cs="Arial"/>
          <w:color w:val="252C33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FB4A53" w:rsidRDefault="00FB4A53">
      <w:bookmarkStart w:id="0" w:name="_GoBack"/>
      <w:bookmarkEnd w:id="0"/>
    </w:p>
    <w:sectPr w:rsidR="00FB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size1-R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50E"/>
    <w:rsid w:val="007F650E"/>
    <w:rsid w:val="00FB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5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50E"/>
    <w:rPr>
      <w:color w:val="0000FF"/>
      <w:u w:val="single"/>
    </w:rPr>
  </w:style>
  <w:style w:type="character" w:customStyle="1" w:styleId="mjx-char">
    <w:name w:val="mjx-char"/>
    <w:basedOn w:val="DefaultParagraphFont"/>
    <w:rsid w:val="007F650E"/>
  </w:style>
  <w:style w:type="character" w:customStyle="1" w:styleId="mjxassistivemathml">
    <w:name w:val="mjx_assistive_mathml"/>
    <w:basedOn w:val="DefaultParagraphFont"/>
    <w:rsid w:val="007F65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5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65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5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50E"/>
    <w:rPr>
      <w:color w:val="0000FF"/>
      <w:u w:val="single"/>
    </w:rPr>
  </w:style>
  <w:style w:type="character" w:customStyle="1" w:styleId="mjx-char">
    <w:name w:val="mjx-char"/>
    <w:basedOn w:val="DefaultParagraphFont"/>
    <w:rsid w:val="007F650E"/>
  </w:style>
  <w:style w:type="character" w:customStyle="1" w:styleId="mjxassistivemathml">
    <w:name w:val="mjx_assistive_mathml"/>
    <w:basedOn w:val="DefaultParagraphFont"/>
    <w:rsid w:val="007F65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5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6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5741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46703">
              <w:marLeft w:val="150"/>
              <w:marRight w:val="150"/>
              <w:marTop w:val="150"/>
              <w:marBottom w:val="150"/>
              <w:divBdr>
                <w:top w:val="single" w:sz="6" w:space="0" w:color="E0DDBB"/>
                <w:left w:val="single" w:sz="6" w:space="0" w:color="E0DDBB"/>
                <w:bottom w:val="single" w:sz="6" w:space="0" w:color="E0DDBB"/>
                <w:right w:val="single" w:sz="6" w:space="0" w:color="E0DDBB"/>
              </w:divBdr>
              <w:divsChild>
                <w:div w:id="19078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ap-southeast-1.amazonaws.com/he-public-data/2017%20YDS%20Submission%20Content%20Detailse0fbbc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counted_cumulative_ga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e-s3.s3.amazonaws.com/media/hackathon/zs-young-data-scientist-challenge-2017/events-sequence-prediction/2f97065a-6-YDS_dataset.zip" TargetMode="External"/><Relationship Id="rId5" Type="http://schemas.openxmlformats.org/officeDocument/2006/relationships/hyperlink" Target="http://www.icd10codesearch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2017-07-30T13:12:00Z</dcterms:created>
  <dcterms:modified xsi:type="dcterms:W3CDTF">2017-07-30T13:13:00Z</dcterms:modified>
</cp:coreProperties>
</file>