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GridWise IoT Energy Management System</w:t>
      </w:r>
    </w:p>
    <w:p>
      <w:r>
        <w:rPr>
          <w:color w:val="4D7065"/>
          <w:sz w:val="26"/>
        </w:rPr>
        <w:t>Software requirements and test cases</w:t>
      </w:r>
    </w:p>
    <w:p>
      <w:pPr>
        <w:spacing w:after="200"/>
      </w:pPr>
      <w:r>
        <w:t>This document defines the functional scope, quality targets, multi-agent workflow, and verification scenarios for the GridWise IoT energy management platform. It is intended for facility operations, engineering, and project stakeholders.</w:t>
      </w:r>
    </w:p>
    <w:p>
      <w:pPr>
        <w:pStyle w:val="Heading1"/>
      </w:pPr>
      <w:r>
        <w:t>1 Purpose and scope</w:t>
      </w:r>
    </w:p>
    <w:p>
      <w:r>
        <w:t>GridWise helps facility operators reduce energy cost and peak demand by combining IoT telemetry with specialised AI agents. The system collects device data, identifies operational opportunities, detects equipment anomalies, and presents safe actions for operator approval or policy-controlled execution.</w:t>
      </w:r>
    </w:p>
    <w:p>
      <w:pPr>
        <w:pStyle w:val="Heading1"/>
      </w:pPr>
      <w:r>
        <w:t>2 Stakeholders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2232"/>
            <w:shd w:fill="173F3A"/>
            <w:vAlign w:val="center"/>
          </w:tcPr>
          <w:p>
            <w:r>
              <w:rPr>
                <w:b/>
                <w:color w:val="FFFFFF"/>
                <w:sz w:val="16"/>
              </w:rPr>
              <w:t>Role</w:t>
            </w:r>
          </w:p>
        </w:tc>
        <w:tc>
          <w:tcPr>
            <w:tcW w:type="dxa" w:w="7344"/>
            <w:shd w:fill="173F3A"/>
            <w:vAlign w:val="center"/>
          </w:tcPr>
          <w:p>
            <w:r>
              <w:rPr>
                <w:b/>
                <w:color w:val="FFFFFF"/>
                <w:sz w:val="16"/>
              </w:rPr>
              <w:t>Primary need</w:t>
            </w:r>
          </w:p>
        </w:tc>
      </w:tr>
      <w:tr>
        <w:tc>
          <w:tcPr>
            <w:tcW w:type="dxa" w:w="2232"/>
            <w:vAlign w:val="center"/>
          </w:tcPr>
          <w:p>
            <w:pPr>
              <w:spacing w:after="40" w:before="40"/>
            </w:pPr>
            <w:r>
              <w:rPr>
                <w:sz w:val="16"/>
              </w:rPr>
              <w:t>Energy manager</w:t>
            </w:r>
          </w:p>
        </w:tc>
        <w:tc>
          <w:tcPr>
            <w:tcW w:type="dxa" w:w="7344"/>
            <w:vAlign w:val="center"/>
          </w:tcPr>
          <w:p>
            <w:pPr>
              <w:spacing w:after="40" w:before="40"/>
            </w:pPr>
            <w:r>
              <w:rPr>
                <w:sz w:val="16"/>
              </w:rPr>
              <w:t>Monitor live performance and approve cost-saving actions.</w:t>
            </w:r>
          </w:p>
        </w:tc>
      </w:tr>
      <w:tr>
        <w:tc>
          <w:tcPr>
            <w:tcW w:type="dxa" w:w="2232"/>
            <w:vAlign w:val="center"/>
            <w:shd w:fill="F4F8F5"/>
          </w:tcPr>
          <w:p>
            <w:pPr>
              <w:spacing w:after="40" w:before="40"/>
            </w:pPr>
            <w:r>
              <w:rPr>
                <w:sz w:val="16"/>
              </w:rPr>
              <w:t>Facility technician</w:t>
            </w:r>
          </w:p>
        </w:tc>
        <w:tc>
          <w:tcPr>
            <w:tcW w:type="dxa" w:w="7344"/>
            <w:vAlign w:val="center"/>
            <w:shd w:fill="F4F8F5"/>
          </w:tcPr>
          <w:p>
            <w:pPr>
              <w:spacing w:after="40" w:before="40"/>
            </w:pPr>
            <w:r>
              <w:rPr>
                <w:sz w:val="16"/>
              </w:rPr>
              <w:t>Investigate device and equipment alerts.</w:t>
            </w:r>
          </w:p>
        </w:tc>
      </w:tr>
      <w:tr>
        <w:tc>
          <w:tcPr>
            <w:tcW w:type="dxa" w:w="2232"/>
            <w:vAlign w:val="center"/>
          </w:tcPr>
          <w:p>
            <w:pPr>
              <w:spacing w:after="40" w:before="40"/>
            </w:pPr>
            <w:r>
              <w:rPr>
                <w:sz w:val="16"/>
              </w:rPr>
              <w:t>Finance team</w:t>
            </w:r>
          </w:p>
        </w:tc>
        <w:tc>
          <w:tcPr>
            <w:tcW w:type="dxa" w:w="7344"/>
            <w:vAlign w:val="center"/>
          </w:tcPr>
          <w:p>
            <w:pPr>
              <w:spacing w:after="40" w:before="40"/>
            </w:pPr>
            <w:r>
              <w:rPr>
                <w:sz w:val="16"/>
              </w:rPr>
              <w:t>Track cost and savings against forecast.</w:t>
            </w:r>
          </w:p>
        </w:tc>
      </w:tr>
      <w:tr>
        <w:tc>
          <w:tcPr>
            <w:tcW w:type="dxa" w:w="2232"/>
            <w:vAlign w:val="center"/>
            <w:shd w:fill="F4F8F5"/>
          </w:tcPr>
          <w:p>
            <w:pPr>
              <w:spacing w:after="40" w:before="40"/>
            </w:pPr>
            <w:r>
              <w:rPr>
                <w:sz w:val="16"/>
              </w:rPr>
              <w:t>System administrator</w:t>
            </w:r>
          </w:p>
        </w:tc>
        <w:tc>
          <w:tcPr>
            <w:tcW w:type="dxa" w:w="7344"/>
            <w:vAlign w:val="center"/>
            <w:shd w:fill="F4F8F5"/>
          </w:tcPr>
          <w:p>
            <w:pPr>
              <w:spacing w:after="40" w:before="40"/>
            </w:pPr>
            <w:r>
              <w:rPr>
                <w:sz w:val="16"/>
              </w:rPr>
              <w:t>Configure devices, tariffs, permissions and policies.</w:t>
            </w:r>
          </w:p>
        </w:tc>
      </w:tr>
    </w:tbl>
    <w:p>
      <w:pPr>
        <w:spacing w:after="60"/>
      </w:pPr>
    </w:p>
    <w:p>
      <w:pPr>
        <w:pStyle w:val="Heading1"/>
      </w:pPr>
      <w:r>
        <w:t>3 Functional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c>
          <w:tcPr>
            <w:tcW w:type="dxa" w:w="792"/>
            <w:shd w:fill="173F3A"/>
            <w:vAlign w:val="center"/>
          </w:tcPr>
          <w:p>
            <w:r>
              <w:rPr>
                <w:b/>
                <w:color w:val="FFFFFF"/>
                <w:sz w:val="16"/>
              </w:rPr>
              <w:t>ID</w:t>
            </w:r>
          </w:p>
        </w:tc>
        <w:tc>
          <w:tcPr>
            <w:tcW w:type="dxa" w:w="3888"/>
            <w:shd w:fill="173F3A"/>
            <w:vAlign w:val="center"/>
          </w:tcPr>
          <w:p>
            <w:r>
              <w:rPr>
                <w:b/>
                <w:color w:val="FFFFFF"/>
                <w:sz w:val="16"/>
              </w:rPr>
              <w:t>Requirement</w:t>
            </w:r>
          </w:p>
        </w:tc>
        <w:tc>
          <w:tcPr>
            <w:tcW w:type="dxa" w:w="893"/>
            <w:shd w:fill="173F3A"/>
            <w:vAlign w:val="center"/>
          </w:tcPr>
          <w:p>
            <w:r>
              <w:rPr>
                <w:b/>
                <w:color w:val="FFFFFF"/>
                <w:sz w:val="16"/>
              </w:rPr>
              <w:t>Priority</w:t>
            </w:r>
          </w:p>
        </w:tc>
        <w:tc>
          <w:tcPr>
            <w:tcW w:type="dxa" w:w="3960"/>
            <w:shd w:fill="173F3A"/>
            <w:vAlign w:val="center"/>
          </w:tcPr>
          <w:p>
            <w:r>
              <w:rPr>
                <w:b/>
                <w:color w:val="FFFFFF"/>
                <w:sz w:val="16"/>
              </w:rPr>
              <w:t>Acceptance criterion</w:t>
            </w:r>
          </w:p>
        </w:tc>
      </w:tr>
      <w:tr>
        <w:tc>
          <w:tcPr>
            <w:tcW w:type="dxa" w:w="792"/>
            <w:vAlign w:val="center"/>
          </w:tcPr>
          <w:p>
            <w:pPr>
              <w:spacing w:after="40" w:before="40"/>
            </w:pPr>
            <w:r>
              <w:rPr>
                <w:sz w:val="16"/>
              </w:rPr>
              <w:t>FR-01</w:t>
            </w:r>
          </w:p>
        </w:tc>
        <w:tc>
          <w:tcPr>
            <w:tcW w:type="dxa" w:w="3888"/>
            <w:vAlign w:val="center"/>
          </w:tcPr>
          <w:p>
            <w:pPr>
              <w:spacing w:after="40" w:before="40"/>
            </w:pPr>
            <w:r>
              <w:rPr>
                <w:sz w:val="16"/>
              </w:rPr>
              <w:t>Ingest timestamped power, energy, voltage, battery and solar telemetry.</w:t>
            </w:r>
          </w:p>
        </w:tc>
        <w:tc>
          <w:tcPr>
            <w:tcW w:type="dxa" w:w="893"/>
            <w:vAlign w:val="center"/>
          </w:tcPr>
          <w:p>
            <w:pPr>
              <w:spacing w:after="40" w:before="40"/>
            </w:pPr>
            <w:r>
              <w:rPr>
                <w:sz w:val="16"/>
              </w:rPr>
              <w:t>Must</w:t>
            </w:r>
          </w:p>
        </w:tc>
        <w:tc>
          <w:tcPr>
            <w:tcW w:type="dxa" w:w="3960"/>
            <w:vAlign w:val="center"/>
          </w:tcPr>
          <w:p>
            <w:pPr>
              <w:spacing w:after="40" w:before="40"/>
            </w:pPr>
            <w:r>
              <w:rPr>
                <w:sz w:val="16"/>
              </w:rPr>
              <w:t>Valid readings include device ID and timestamp.</w:t>
            </w:r>
          </w:p>
        </w:tc>
      </w:tr>
      <w:tr>
        <w:tc>
          <w:tcPr>
            <w:tcW w:type="dxa" w:w="792"/>
            <w:vAlign w:val="center"/>
            <w:shd w:fill="F4F8F5"/>
          </w:tcPr>
          <w:p>
            <w:pPr>
              <w:spacing w:after="40" w:before="40"/>
            </w:pPr>
            <w:r>
              <w:rPr>
                <w:sz w:val="16"/>
              </w:rPr>
              <w:t>FR-02</w:t>
            </w:r>
          </w:p>
        </w:tc>
        <w:tc>
          <w:tcPr>
            <w:tcW w:type="dxa" w:w="3888"/>
            <w:vAlign w:val="center"/>
            <w:shd w:fill="F4F8F5"/>
          </w:tcPr>
          <w:p>
            <w:pPr>
              <w:spacing w:after="40" w:before="40"/>
            </w:pPr>
            <w:r>
              <w:rPr>
                <w:sz w:val="16"/>
              </w:rPr>
              <w:t>Show current demand, daily consumption, daily cost and solar generation.</w:t>
            </w:r>
          </w:p>
        </w:tc>
        <w:tc>
          <w:tcPr>
            <w:tcW w:type="dxa" w:w="893"/>
            <w:vAlign w:val="center"/>
            <w:shd w:fill="F4F8F5"/>
          </w:tcPr>
          <w:p>
            <w:pPr>
              <w:spacing w:after="40" w:before="40"/>
            </w:pPr>
            <w:r>
              <w:rPr>
                <w:sz w:val="16"/>
              </w:rPr>
              <w:t>Must</w:t>
            </w:r>
          </w:p>
        </w:tc>
        <w:tc>
          <w:tcPr>
            <w:tcW w:type="dxa" w:w="3960"/>
            <w:vAlign w:val="center"/>
            <w:shd w:fill="F4F8F5"/>
          </w:tcPr>
          <w:p>
            <w:pPr>
              <w:spacing w:after="40" w:before="40"/>
            </w:pPr>
            <w:r>
              <w:rPr>
                <w:sz w:val="16"/>
              </w:rPr>
              <w:t>Values refresh for the selected site.</w:t>
            </w:r>
          </w:p>
        </w:tc>
      </w:tr>
      <w:tr>
        <w:tc>
          <w:tcPr>
            <w:tcW w:type="dxa" w:w="792"/>
            <w:vAlign w:val="center"/>
          </w:tcPr>
          <w:p>
            <w:pPr>
              <w:spacing w:after="40" w:before="40"/>
            </w:pPr>
            <w:r>
              <w:rPr>
                <w:sz w:val="16"/>
              </w:rPr>
              <w:t>FR-03</w:t>
            </w:r>
          </w:p>
        </w:tc>
        <w:tc>
          <w:tcPr>
            <w:tcW w:type="dxa" w:w="3888"/>
            <w:vAlign w:val="center"/>
          </w:tcPr>
          <w:p>
            <w:pPr>
              <w:spacing w:after="40" w:before="40"/>
            </w:pPr>
            <w:r>
              <w:rPr>
                <w:sz w:val="16"/>
              </w:rPr>
              <w:t>Display a configurable demand trend.</w:t>
            </w:r>
          </w:p>
        </w:tc>
        <w:tc>
          <w:tcPr>
            <w:tcW w:type="dxa" w:w="893"/>
            <w:vAlign w:val="center"/>
          </w:tcPr>
          <w:p>
            <w:pPr>
              <w:spacing w:after="40" w:before="40"/>
            </w:pPr>
            <w:r>
              <w:rPr>
                <w:sz w:val="16"/>
              </w:rPr>
              <w:t>Must</w:t>
            </w:r>
          </w:p>
        </w:tc>
        <w:tc>
          <w:tcPr>
            <w:tcW w:type="dxa" w:w="3960"/>
            <w:vAlign w:val="center"/>
          </w:tcPr>
          <w:p>
            <w:pPr>
              <w:spacing w:after="40" w:before="40"/>
            </w:pPr>
            <w:r>
              <w:rPr>
                <w:sz w:val="16"/>
              </w:rPr>
              <w:t>Operator can select day, week or month aggregation.</w:t>
            </w:r>
          </w:p>
        </w:tc>
      </w:tr>
      <w:tr>
        <w:tc>
          <w:tcPr>
            <w:tcW w:type="dxa" w:w="792"/>
            <w:vAlign w:val="center"/>
            <w:shd w:fill="F4F8F5"/>
          </w:tcPr>
          <w:p>
            <w:pPr>
              <w:spacing w:after="40" w:before="40"/>
            </w:pPr>
            <w:r>
              <w:rPr>
                <w:sz w:val="16"/>
              </w:rPr>
              <w:t>FR-04</w:t>
            </w:r>
          </w:p>
        </w:tc>
        <w:tc>
          <w:tcPr>
            <w:tcW w:type="dxa" w:w="3888"/>
            <w:vAlign w:val="center"/>
            <w:shd w:fill="F4F8F5"/>
          </w:tcPr>
          <w:p>
            <w:pPr>
              <w:spacing w:after="40" w:before="40"/>
            </w:pPr>
            <w:r>
              <w:rPr>
                <w:sz w:val="16"/>
              </w:rPr>
              <w:t>Forecast near-term site demand.</w:t>
            </w:r>
          </w:p>
        </w:tc>
        <w:tc>
          <w:tcPr>
            <w:tcW w:type="dxa" w:w="893"/>
            <w:vAlign w:val="center"/>
            <w:shd w:fill="F4F8F5"/>
          </w:tcPr>
          <w:p>
            <w:pPr>
              <w:spacing w:after="40" w:before="40"/>
            </w:pPr>
            <w:r>
              <w:rPr>
                <w:sz w:val="16"/>
              </w:rPr>
              <w:t>Must</w:t>
            </w:r>
          </w:p>
        </w:tc>
        <w:tc>
          <w:tcPr>
            <w:tcW w:type="dxa" w:w="3960"/>
            <w:vAlign w:val="center"/>
            <w:shd w:fill="F4F8F5"/>
          </w:tcPr>
          <w:p>
            <w:pPr>
              <w:spacing w:after="40" w:before="40"/>
            </w:pPr>
            <w:r>
              <w:rPr>
                <w:sz w:val="16"/>
              </w:rPr>
              <w:t>Agent returns a peak-window estimate and confidence.</w:t>
            </w:r>
          </w:p>
        </w:tc>
      </w:tr>
      <w:tr>
        <w:tc>
          <w:tcPr>
            <w:tcW w:type="dxa" w:w="792"/>
            <w:vAlign w:val="center"/>
          </w:tcPr>
          <w:p>
            <w:pPr>
              <w:spacing w:after="40" w:before="40"/>
            </w:pPr>
            <w:r>
              <w:rPr>
                <w:sz w:val="16"/>
              </w:rPr>
              <w:t>FR-05</w:t>
            </w:r>
          </w:p>
        </w:tc>
        <w:tc>
          <w:tcPr>
            <w:tcW w:type="dxa" w:w="3888"/>
            <w:vAlign w:val="center"/>
          </w:tcPr>
          <w:p>
            <w:pPr>
              <w:spacing w:after="40" w:before="40"/>
            </w:pPr>
            <w:r>
              <w:rPr>
                <w:sz w:val="16"/>
              </w:rPr>
              <w:t>Optimise demand against tariff windows and demand limits.</w:t>
            </w:r>
          </w:p>
        </w:tc>
        <w:tc>
          <w:tcPr>
            <w:tcW w:type="dxa" w:w="893"/>
            <w:vAlign w:val="center"/>
          </w:tcPr>
          <w:p>
            <w:pPr>
              <w:spacing w:after="40" w:before="40"/>
            </w:pPr>
            <w:r>
              <w:rPr>
                <w:sz w:val="16"/>
              </w:rPr>
              <w:t>Must</w:t>
            </w:r>
          </w:p>
        </w:tc>
        <w:tc>
          <w:tcPr>
            <w:tcW w:type="dxa" w:w="3960"/>
            <w:vAlign w:val="center"/>
          </w:tcPr>
          <w:p>
            <w:pPr>
              <w:spacing w:after="40" w:before="40"/>
            </w:pPr>
            <w:r>
              <w:rPr>
                <w:sz w:val="16"/>
              </w:rPr>
              <w:t>Agent proposes action window and estimated saving.</w:t>
            </w:r>
          </w:p>
        </w:tc>
      </w:tr>
      <w:tr>
        <w:tc>
          <w:tcPr>
            <w:tcW w:type="dxa" w:w="792"/>
            <w:vAlign w:val="center"/>
            <w:shd w:fill="F4F8F5"/>
          </w:tcPr>
          <w:p>
            <w:pPr>
              <w:spacing w:after="40" w:before="40"/>
            </w:pPr>
            <w:r>
              <w:rPr>
                <w:sz w:val="16"/>
              </w:rPr>
              <w:t>FR-06</w:t>
            </w:r>
          </w:p>
        </w:tc>
        <w:tc>
          <w:tcPr>
            <w:tcW w:type="dxa" w:w="3888"/>
            <w:vAlign w:val="center"/>
            <w:shd w:fill="F4F8F5"/>
          </w:tcPr>
          <w:p>
            <w:pPr>
              <w:spacing w:after="40" w:before="40"/>
            </w:pPr>
            <w:r>
              <w:rPr>
                <w:sz w:val="16"/>
              </w:rPr>
              <w:t>Detect abnormal device or equipment consumption.</w:t>
            </w:r>
          </w:p>
        </w:tc>
        <w:tc>
          <w:tcPr>
            <w:tcW w:type="dxa" w:w="893"/>
            <w:vAlign w:val="center"/>
            <w:shd w:fill="F4F8F5"/>
          </w:tcPr>
          <w:p>
            <w:pPr>
              <w:spacing w:after="40" w:before="40"/>
            </w:pPr>
            <w:r>
              <w:rPr>
                <w:sz w:val="16"/>
              </w:rPr>
              <w:t>Must</w:t>
            </w:r>
          </w:p>
        </w:tc>
        <w:tc>
          <w:tcPr>
            <w:tcW w:type="dxa" w:w="3960"/>
            <w:vAlign w:val="center"/>
            <w:shd w:fill="F4F8F5"/>
          </w:tcPr>
          <w:p>
            <w:pPr>
              <w:spacing w:after="40" w:before="40"/>
            </w:pPr>
            <w:r>
              <w:rPr>
                <w:sz w:val="16"/>
              </w:rPr>
              <w:t>Alert includes severity, evidence and source device.</w:t>
            </w:r>
          </w:p>
        </w:tc>
      </w:tr>
      <w:tr>
        <w:tc>
          <w:tcPr>
            <w:tcW w:type="dxa" w:w="792"/>
            <w:vAlign w:val="center"/>
          </w:tcPr>
          <w:p>
            <w:pPr>
              <w:spacing w:after="40" w:before="40"/>
            </w:pPr>
            <w:r>
              <w:rPr>
                <w:sz w:val="16"/>
              </w:rPr>
              <w:t>FR-07</w:t>
            </w:r>
          </w:p>
        </w:tc>
        <w:tc>
          <w:tcPr>
            <w:tcW w:type="dxa" w:w="3888"/>
            <w:vAlign w:val="center"/>
          </w:tcPr>
          <w:p>
            <w:pPr>
              <w:spacing w:after="40" w:before="40"/>
            </w:pPr>
            <w:r>
              <w:rPr>
                <w:sz w:val="16"/>
              </w:rPr>
              <w:t>Route outputs through orchestration policy.</w:t>
            </w:r>
          </w:p>
        </w:tc>
        <w:tc>
          <w:tcPr>
            <w:tcW w:type="dxa" w:w="893"/>
            <w:vAlign w:val="center"/>
          </w:tcPr>
          <w:p>
            <w:pPr>
              <w:spacing w:after="40" w:before="40"/>
            </w:pPr>
            <w:r>
              <w:rPr>
                <w:sz w:val="16"/>
              </w:rPr>
              <w:t>Must</w:t>
            </w:r>
          </w:p>
        </w:tc>
        <w:tc>
          <w:tcPr>
            <w:tcW w:type="dxa" w:w="3960"/>
            <w:vAlign w:val="center"/>
          </w:tcPr>
          <w:p>
            <w:pPr>
              <w:spacing w:after="40" w:before="40"/>
            </w:pPr>
            <w:r>
              <w:rPr>
                <w:sz w:val="16"/>
              </w:rPr>
              <w:t>Conflicts are ranked and only permitted actions proceed.</w:t>
            </w:r>
          </w:p>
        </w:tc>
      </w:tr>
      <w:tr>
        <w:tc>
          <w:tcPr>
            <w:tcW w:type="dxa" w:w="792"/>
            <w:vAlign w:val="center"/>
            <w:shd w:fill="F4F8F5"/>
          </w:tcPr>
          <w:p>
            <w:pPr>
              <w:spacing w:after="40" w:before="40"/>
            </w:pPr>
            <w:r>
              <w:rPr>
                <w:sz w:val="16"/>
              </w:rPr>
              <w:t>FR-08</w:t>
            </w:r>
          </w:p>
        </w:tc>
        <w:tc>
          <w:tcPr>
            <w:tcW w:type="dxa" w:w="3888"/>
            <w:vAlign w:val="center"/>
            <w:shd w:fill="F4F8F5"/>
          </w:tcPr>
          <w:p>
            <w:pPr>
              <w:spacing w:after="40" w:before="40"/>
            </w:pPr>
            <w:r>
              <w:rPr>
                <w:sz w:val="16"/>
              </w:rPr>
              <w:t>Allow operator to apply or dismiss a recommendation.</w:t>
            </w:r>
          </w:p>
        </w:tc>
        <w:tc>
          <w:tcPr>
            <w:tcW w:type="dxa" w:w="893"/>
            <w:vAlign w:val="center"/>
            <w:shd w:fill="F4F8F5"/>
          </w:tcPr>
          <w:p>
            <w:pPr>
              <w:spacing w:after="40" w:before="40"/>
            </w:pPr>
            <w:r>
              <w:rPr>
                <w:sz w:val="16"/>
              </w:rPr>
              <w:t>Must</w:t>
            </w:r>
          </w:p>
        </w:tc>
        <w:tc>
          <w:tcPr>
            <w:tcW w:type="dxa" w:w="3960"/>
            <w:vAlign w:val="center"/>
            <w:shd w:fill="F4F8F5"/>
          </w:tcPr>
          <w:p>
            <w:pPr>
              <w:spacing w:after="40" w:before="40"/>
            </w:pPr>
            <w:r>
              <w:rPr>
                <w:sz w:val="16"/>
              </w:rPr>
              <w:t>Decision, actor and timestamp are recorded.</w:t>
            </w:r>
          </w:p>
        </w:tc>
      </w:tr>
      <w:tr>
        <w:tc>
          <w:tcPr>
            <w:tcW w:type="dxa" w:w="792"/>
            <w:vAlign w:val="center"/>
          </w:tcPr>
          <w:p>
            <w:pPr>
              <w:spacing w:after="40" w:before="40"/>
            </w:pPr>
            <w:r>
              <w:rPr>
                <w:sz w:val="16"/>
              </w:rPr>
              <w:t>FR-09</w:t>
            </w:r>
          </w:p>
        </w:tc>
        <w:tc>
          <w:tcPr>
            <w:tcW w:type="dxa" w:w="3888"/>
            <w:vAlign w:val="center"/>
          </w:tcPr>
          <w:p>
            <w:pPr>
              <w:spacing w:after="40" w:before="40"/>
            </w:pPr>
            <w:r>
              <w:rPr>
                <w:sz w:val="16"/>
              </w:rPr>
              <w:t>Show live grid, solar and battery supply mix.</w:t>
            </w:r>
          </w:p>
        </w:tc>
        <w:tc>
          <w:tcPr>
            <w:tcW w:type="dxa" w:w="893"/>
            <w:vAlign w:val="center"/>
          </w:tcPr>
          <w:p>
            <w:pPr>
              <w:spacing w:after="40" w:before="40"/>
            </w:pPr>
            <w:r>
              <w:rPr>
                <w:sz w:val="16"/>
              </w:rPr>
              <w:t>Should</w:t>
            </w:r>
          </w:p>
        </w:tc>
        <w:tc>
          <w:tcPr>
            <w:tcW w:type="dxa" w:w="3960"/>
            <w:vAlign w:val="center"/>
          </w:tcPr>
          <w:p>
            <w:pPr>
              <w:spacing w:after="40" w:before="40"/>
            </w:pPr>
            <w:r>
              <w:rPr>
                <w:sz w:val="16"/>
              </w:rPr>
              <w:t>Sources reconcile to demand within tolerance.</w:t>
            </w:r>
          </w:p>
        </w:tc>
      </w:tr>
      <w:tr>
        <w:tc>
          <w:tcPr>
            <w:tcW w:type="dxa" w:w="792"/>
            <w:vAlign w:val="center"/>
            <w:shd w:fill="F4F8F5"/>
          </w:tcPr>
          <w:p>
            <w:pPr>
              <w:spacing w:after="40" w:before="40"/>
            </w:pPr>
            <w:r>
              <w:rPr>
                <w:sz w:val="16"/>
              </w:rPr>
              <w:t>FR-10</w:t>
            </w:r>
          </w:p>
        </w:tc>
        <w:tc>
          <w:tcPr>
            <w:tcW w:type="dxa" w:w="3888"/>
            <w:vAlign w:val="center"/>
            <w:shd w:fill="F4F8F5"/>
          </w:tcPr>
          <w:p>
            <w:pPr>
              <w:spacing w:after="40" w:before="40"/>
            </w:pPr>
            <w:r>
              <w:rPr>
                <w:sz w:val="16"/>
              </w:rPr>
              <w:t>Maintain an audit trail for decisions and device commands.</w:t>
            </w:r>
          </w:p>
        </w:tc>
        <w:tc>
          <w:tcPr>
            <w:tcW w:type="dxa" w:w="893"/>
            <w:vAlign w:val="center"/>
            <w:shd w:fill="F4F8F5"/>
          </w:tcPr>
          <w:p>
            <w:pPr>
              <w:spacing w:after="40" w:before="40"/>
            </w:pPr>
            <w:r>
              <w:rPr>
                <w:sz w:val="16"/>
              </w:rPr>
              <w:t>Must</w:t>
            </w:r>
          </w:p>
        </w:tc>
        <w:tc>
          <w:tcPr>
            <w:tcW w:type="dxa" w:w="3960"/>
            <w:vAlign w:val="center"/>
            <w:shd w:fill="F4F8F5"/>
          </w:tcPr>
          <w:p>
            <w:pPr>
              <w:spacing w:after="40" w:before="40"/>
            </w:pPr>
            <w:r>
              <w:rPr>
                <w:sz w:val="16"/>
              </w:rPr>
              <w:t>Record contains agent, input, action and result.</w:t>
            </w:r>
          </w:p>
        </w:tc>
      </w:tr>
    </w:tbl>
    <w:p>
      <w:pPr>
        <w:spacing w:after="60"/>
      </w:pPr>
    </w:p>
    <w:p>
      <w:pPr>
        <w:pStyle w:val="Heading1"/>
      </w:pPr>
      <w:r>
        <w:t>4 Non functional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936"/>
            <w:shd w:fill="173F3A"/>
            <w:vAlign w:val="center"/>
          </w:tcPr>
          <w:p>
            <w:r>
              <w:rPr>
                <w:b/>
                <w:color w:val="FFFFFF"/>
                <w:sz w:val="16"/>
              </w:rPr>
              <w:t>ID</w:t>
            </w:r>
          </w:p>
        </w:tc>
        <w:tc>
          <w:tcPr>
            <w:tcW w:type="dxa" w:w="2880"/>
            <w:shd w:fill="173F3A"/>
            <w:vAlign w:val="center"/>
          </w:tcPr>
          <w:p>
            <w:r>
              <w:rPr>
                <w:b/>
                <w:color w:val="FFFFFF"/>
                <w:sz w:val="16"/>
              </w:rPr>
              <w:t>Requirement</w:t>
            </w:r>
          </w:p>
        </w:tc>
        <w:tc>
          <w:tcPr>
            <w:tcW w:type="dxa" w:w="5760"/>
            <w:shd w:fill="173F3A"/>
            <w:vAlign w:val="center"/>
          </w:tcPr>
          <w:p>
            <w:r>
              <w:rPr>
                <w:b/>
                <w:color w:val="FFFFFF"/>
                <w:sz w:val="16"/>
              </w:rPr>
              <w:t>Target</w:t>
            </w:r>
          </w:p>
        </w:tc>
      </w:tr>
      <w:tr>
        <w:tc>
          <w:tcPr>
            <w:tcW w:type="dxa" w:w="936"/>
            <w:vAlign w:val="center"/>
          </w:tcPr>
          <w:p>
            <w:pPr>
              <w:spacing w:after="40" w:before="40"/>
            </w:pPr>
            <w:r>
              <w:rPr>
                <w:sz w:val="16"/>
              </w:rPr>
              <w:t>NFR-01</w:t>
            </w:r>
          </w:p>
        </w:tc>
        <w:tc>
          <w:tcPr>
            <w:tcW w:type="dxa" w:w="2880"/>
            <w:vAlign w:val="center"/>
          </w:tcPr>
          <w:p>
            <w:pPr>
              <w:spacing w:after="40" w:before="40"/>
            </w:pPr>
            <w:r>
              <w:rPr>
                <w:sz w:val="16"/>
              </w:rPr>
              <w:t>Dashboard availability</w:t>
            </w:r>
          </w:p>
        </w:tc>
        <w:tc>
          <w:tcPr>
            <w:tcW w:type="dxa" w:w="5760"/>
            <w:vAlign w:val="center"/>
          </w:tcPr>
          <w:p>
            <w:pPr>
              <w:spacing w:after="40" w:before="40"/>
            </w:pPr>
            <w:r>
              <w:rPr>
                <w:sz w:val="16"/>
              </w:rPr>
              <w:t>99.5% monthly availability excluding planned maintenance.</w:t>
            </w:r>
          </w:p>
        </w:tc>
      </w:tr>
      <w:tr>
        <w:tc>
          <w:tcPr>
            <w:tcW w:type="dxa" w:w="936"/>
            <w:vAlign w:val="center"/>
            <w:shd w:fill="F4F8F5"/>
          </w:tcPr>
          <w:p>
            <w:pPr>
              <w:spacing w:after="40" w:before="40"/>
            </w:pPr>
            <w:r>
              <w:rPr>
                <w:sz w:val="16"/>
              </w:rPr>
              <w:t>NFR-02</w:t>
            </w:r>
          </w:p>
        </w:tc>
        <w:tc>
          <w:tcPr>
            <w:tcW w:type="dxa" w:w="2880"/>
            <w:vAlign w:val="center"/>
            <w:shd w:fill="F4F8F5"/>
          </w:tcPr>
          <w:p>
            <w:pPr>
              <w:spacing w:after="40" w:before="40"/>
            </w:pPr>
            <w:r>
              <w:rPr>
                <w:sz w:val="16"/>
              </w:rPr>
              <w:t>Telemetry freshness</w:t>
            </w:r>
          </w:p>
        </w:tc>
        <w:tc>
          <w:tcPr>
            <w:tcW w:type="dxa" w:w="5760"/>
            <w:vAlign w:val="center"/>
            <w:shd w:fill="F4F8F5"/>
          </w:tcPr>
          <w:p>
            <w:pPr>
              <w:spacing w:after="40" w:before="40"/>
            </w:pPr>
            <w:r>
              <w:rPr>
                <w:sz w:val="16"/>
              </w:rPr>
              <w:t>No older than 60 seconds under normal connectivity.</w:t>
            </w:r>
          </w:p>
        </w:tc>
      </w:tr>
      <w:tr>
        <w:tc>
          <w:tcPr>
            <w:tcW w:type="dxa" w:w="936"/>
            <w:vAlign w:val="center"/>
          </w:tcPr>
          <w:p>
            <w:pPr>
              <w:spacing w:after="40" w:before="40"/>
            </w:pPr>
            <w:r>
              <w:rPr>
                <w:sz w:val="16"/>
              </w:rPr>
              <w:t>NFR-03</w:t>
            </w:r>
          </w:p>
        </w:tc>
        <w:tc>
          <w:tcPr>
            <w:tcW w:type="dxa" w:w="2880"/>
            <w:vAlign w:val="center"/>
          </w:tcPr>
          <w:p>
            <w:pPr>
              <w:spacing w:after="40" w:before="40"/>
            </w:pPr>
            <w:r>
              <w:rPr>
                <w:sz w:val="16"/>
              </w:rPr>
              <w:t>Dashboard responsiveness</w:t>
            </w:r>
          </w:p>
        </w:tc>
        <w:tc>
          <w:tcPr>
            <w:tcW w:type="dxa" w:w="5760"/>
            <w:vAlign w:val="center"/>
          </w:tcPr>
          <w:p>
            <w:pPr>
              <w:spacing w:after="40" w:before="40"/>
            </w:pPr>
            <w:r>
              <w:rPr>
                <w:sz w:val="16"/>
              </w:rPr>
              <w:t>Primary views render within 2 seconds.</w:t>
            </w:r>
          </w:p>
        </w:tc>
      </w:tr>
      <w:tr>
        <w:tc>
          <w:tcPr>
            <w:tcW w:type="dxa" w:w="936"/>
            <w:vAlign w:val="center"/>
            <w:shd w:fill="F4F8F5"/>
          </w:tcPr>
          <w:p>
            <w:pPr>
              <w:spacing w:after="40" w:before="40"/>
            </w:pPr>
            <w:r>
              <w:rPr>
                <w:sz w:val="16"/>
              </w:rPr>
              <w:t>NFR-04</w:t>
            </w:r>
          </w:p>
        </w:tc>
        <w:tc>
          <w:tcPr>
            <w:tcW w:type="dxa" w:w="2880"/>
            <w:vAlign w:val="center"/>
            <w:shd w:fill="F4F8F5"/>
          </w:tcPr>
          <w:p>
            <w:pPr>
              <w:spacing w:after="40" w:before="40"/>
            </w:pPr>
            <w:r>
              <w:rPr>
                <w:sz w:val="16"/>
              </w:rPr>
              <w:t>Security</w:t>
            </w:r>
          </w:p>
        </w:tc>
        <w:tc>
          <w:tcPr>
            <w:tcW w:type="dxa" w:w="5760"/>
            <w:vAlign w:val="center"/>
            <w:shd w:fill="F4F8F5"/>
          </w:tcPr>
          <w:p>
            <w:pPr>
              <w:spacing w:after="40" w:before="40"/>
            </w:pPr>
            <w:r>
              <w:rPr>
                <w:sz w:val="16"/>
              </w:rPr>
              <w:t>TLS, encrypted credentials, RBAC and auditable commands.</w:t>
            </w:r>
          </w:p>
        </w:tc>
      </w:tr>
      <w:tr>
        <w:tc>
          <w:tcPr>
            <w:tcW w:type="dxa" w:w="936"/>
            <w:vAlign w:val="center"/>
          </w:tcPr>
          <w:p>
            <w:pPr>
              <w:spacing w:after="40" w:before="40"/>
            </w:pPr>
            <w:r>
              <w:rPr>
                <w:sz w:val="16"/>
              </w:rPr>
              <w:t>NFR-05</w:t>
            </w:r>
          </w:p>
        </w:tc>
        <w:tc>
          <w:tcPr>
            <w:tcW w:type="dxa" w:w="2880"/>
            <w:vAlign w:val="center"/>
          </w:tcPr>
          <w:p>
            <w:pPr>
              <w:spacing w:after="40" w:before="40"/>
            </w:pPr>
            <w:r>
              <w:rPr>
                <w:sz w:val="16"/>
              </w:rPr>
              <w:t>Scalability</w:t>
            </w:r>
          </w:p>
        </w:tc>
        <w:tc>
          <w:tcPr>
            <w:tcW w:type="dxa" w:w="5760"/>
            <w:vAlign w:val="center"/>
          </w:tcPr>
          <w:p>
            <w:pPr>
              <w:spacing w:after="40" w:before="40"/>
            </w:pPr>
            <w:r>
              <w:rPr>
                <w:sz w:val="16"/>
              </w:rPr>
              <w:t>At least 10,000 devices at one reading per minute.</w:t>
            </w:r>
          </w:p>
        </w:tc>
      </w:tr>
      <w:tr>
        <w:tc>
          <w:tcPr>
            <w:tcW w:type="dxa" w:w="936"/>
            <w:vAlign w:val="center"/>
            <w:shd w:fill="F4F8F5"/>
          </w:tcPr>
          <w:p>
            <w:pPr>
              <w:spacing w:after="40" w:before="40"/>
            </w:pPr>
            <w:r>
              <w:rPr>
                <w:sz w:val="16"/>
              </w:rPr>
              <w:t>NFR-06</w:t>
            </w:r>
          </w:p>
        </w:tc>
        <w:tc>
          <w:tcPr>
            <w:tcW w:type="dxa" w:w="2880"/>
            <w:vAlign w:val="center"/>
            <w:shd w:fill="F4F8F5"/>
          </w:tcPr>
          <w:p>
            <w:pPr>
              <w:spacing w:after="40" w:before="40"/>
            </w:pPr>
            <w:r>
              <w:rPr>
                <w:sz w:val="16"/>
              </w:rPr>
              <w:t>Safety</w:t>
            </w:r>
          </w:p>
        </w:tc>
        <w:tc>
          <w:tcPr>
            <w:tcW w:type="dxa" w:w="5760"/>
            <w:vAlign w:val="center"/>
            <w:shd w:fill="F4F8F5"/>
          </w:tcPr>
          <w:p>
            <w:pPr>
              <w:spacing w:after="40" w:before="40"/>
            </w:pPr>
            <w:r>
              <w:rPr>
                <w:sz w:val="16"/>
              </w:rPr>
              <w:t>Policy checks and a reversible command path.</w:t>
            </w:r>
          </w:p>
        </w:tc>
      </w:tr>
    </w:tbl>
    <w:p>
      <w:pPr>
        <w:spacing w:after="60"/>
      </w:pPr>
    </w:p>
    <w:p>
      <w:pPr>
        <w:pStyle w:val="Heading1"/>
      </w:pPr>
      <w:r>
        <w:t>5 Multi agent workflow</w:t>
      </w:r>
    </w:p>
    <w:p>
      <w:pPr/>
      <w:r>
        <w:rPr>
          <w:b/>
        </w:rPr>
        <w:t xml:space="preserve">Telemetry monitor. </w:t>
      </w:r>
      <w:r>
        <w:t>Validates data quality, late readings and device health.</w:t>
      </w:r>
    </w:p>
    <w:p>
      <w:pPr/>
      <w:r>
        <w:rPr>
          <w:b/>
        </w:rPr>
        <w:t xml:space="preserve">Load forecaster. </w:t>
      </w:r>
      <w:r>
        <w:t>Predicts demand using historical load, weather and occupancy signals.</w:t>
      </w:r>
    </w:p>
    <w:p>
      <w:pPr/>
      <w:r>
        <w:rPr>
          <w:b/>
        </w:rPr>
        <w:t xml:space="preserve">Tariff optimiser. </w:t>
      </w:r>
      <w:r>
        <w:t>Compares forecast load with tariff and contracted demand constraints.</w:t>
      </w:r>
    </w:p>
    <w:p>
      <w:pPr/>
      <w:r>
        <w:rPr>
          <w:b/>
        </w:rPr>
        <w:t xml:space="preserve">Anomaly detector. </w:t>
      </w:r>
      <w:r>
        <w:t>Identifies deviations from equipment baselines.</w:t>
      </w:r>
    </w:p>
    <w:p>
      <w:pPr/>
      <w:r>
        <w:rPr>
          <w:b/>
        </w:rPr>
        <w:t xml:space="preserve">Orchestrator. </w:t>
      </w:r>
      <w:r>
        <w:t>Scores, deduplicates and applies policy before surfacing a recommendation or command.</w:t>
      </w:r>
    </w:p>
    <w:p>
      <w:pPr>
        <w:pStyle w:val="Heading1"/>
      </w:pPr>
      <w:r>
        <w:t>6 Test cases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c>
          <w:tcPr>
            <w:tcW w:type="dxa" w:w="792"/>
            <w:shd w:fill="173F3A"/>
            <w:vAlign w:val="center"/>
          </w:tcPr>
          <w:p>
            <w:r>
              <w:rPr>
                <w:b/>
                <w:color w:val="FFFFFF"/>
                <w:sz w:val="16"/>
              </w:rPr>
              <w:t>ID</w:t>
            </w:r>
          </w:p>
        </w:tc>
        <w:tc>
          <w:tcPr>
            <w:tcW w:type="dxa" w:w="1800"/>
            <w:shd w:fill="173F3A"/>
            <w:vAlign w:val="center"/>
          </w:tcPr>
          <w:p>
            <w:r>
              <w:rPr>
                <w:b/>
                <w:color w:val="FFFFFF"/>
                <w:sz w:val="16"/>
              </w:rPr>
              <w:t>Scenario</w:t>
            </w:r>
          </w:p>
        </w:tc>
        <w:tc>
          <w:tcPr>
            <w:tcW w:type="dxa" w:w="3384"/>
            <w:shd w:fill="173F3A"/>
            <w:vAlign w:val="center"/>
          </w:tcPr>
          <w:p>
            <w:r>
              <w:rPr>
                <w:b/>
                <w:color w:val="FFFFFF"/>
                <w:sz w:val="16"/>
              </w:rPr>
              <w:t>Steps</w:t>
            </w:r>
          </w:p>
        </w:tc>
        <w:tc>
          <w:tcPr>
            <w:tcW w:type="dxa" w:w="3312"/>
            <w:shd w:fill="173F3A"/>
            <w:vAlign w:val="center"/>
          </w:tcPr>
          <w:p>
            <w:r>
              <w:rPr>
                <w:b/>
                <w:color w:val="FFFFFF"/>
                <w:sz w:val="16"/>
              </w:rPr>
              <w:t>Expected result</w:t>
            </w:r>
          </w:p>
        </w:tc>
      </w:tr>
      <w:tr>
        <w:tc>
          <w:tcPr>
            <w:tcW w:type="dxa" w:w="792"/>
            <w:vAlign w:val="center"/>
          </w:tcPr>
          <w:p>
            <w:pPr>
              <w:spacing w:after="40" w:before="40"/>
            </w:pPr>
            <w:r>
              <w:rPr>
                <w:sz w:val="16"/>
              </w:rPr>
              <w:t>TC-01</w:t>
            </w:r>
          </w:p>
        </w:tc>
        <w:tc>
          <w:tcPr>
            <w:tcW w:type="dxa" w:w="1800"/>
            <w:vAlign w:val="center"/>
          </w:tcPr>
          <w:p>
            <w:pPr>
              <w:spacing w:after="40" w:before="40"/>
            </w:pPr>
            <w:r>
              <w:rPr>
                <w:sz w:val="16"/>
              </w:rPr>
              <w:t>Dashboard loads</w:t>
            </w:r>
          </w:p>
        </w:tc>
        <w:tc>
          <w:tcPr>
            <w:tcW w:type="dxa" w:w="3384"/>
            <w:vAlign w:val="center"/>
          </w:tcPr>
          <w:p>
            <w:pPr>
              <w:spacing w:after="40" w:before="40"/>
            </w:pPr>
            <w:r>
              <w:rPr>
                <w:sz w:val="16"/>
              </w:rPr>
              <w:t>Open the dashboard.</w:t>
            </w:r>
          </w:p>
        </w:tc>
        <w:tc>
          <w:tcPr>
            <w:tcW w:type="dxa" w:w="3312"/>
            <w:vAlign w:val="center"/>
          </w:tcPr>
          <w:p>
            <w:pPr>
              <w:spacing w:after="40" w:before="40"/>
            </w:pPr>
            <w:r>
              <w:rPr>
                <w:sz w:val="16"/>
              </w:rPr>
              <w:t>KPIs, charts, agent panel and alerts are visible.</w:t>
            </w:r>
          </w:p>
        </w:tc>
      </w:tr>
      <w:tr>
        <w:tc>
          <w:tcPr>
            <w:tcW w:type="dxa" w:w="792"/>
            <w:vAlign w:val="center"/>
            <w:shd w:fill="F4F8F5"/>
          </w:tcPr>
          <w:p>
            <w:pPr>
              <w:spacing w:after="40" w:before="40"/>
            </w:pPr>
            <w:r>
              <w:rPr>
                <w:sz w:val="16"/>
              </w:rPr>
              <w:t>TC-02</w:t>
            </w:r>
          </w:p>
        </w:tc>
        <w:tc>
          <w:tcPr>
            <w:tcW w:type="dxa" w:w="1800"/>
            <w:vAlign w:val="center"/>
            <w:shd w:fill="F4F8F5"/>
          </w:tcPr>
          <w:p>
            <w:pPr>
              <w:spacing w:after="40" w:before="40"/>
            </w:pPr>
            <w:r>
              <w:rPr>
                <w:sz w:val="16"/>
              </w:rPr>
              <w:t>Change time range</w:t>
            </w:r>
          </w:p>
        </w:tc>
        <w:tc>
          <w:tcPr>
            <w:tcW w:type="dxa" w:w="3384"/>
            <w:vAlign w:val="center"/>
            <w:shd w:fill="F4F8F5"/>
          </w:tcPr>
          <w:p>
            <w:pPr>
              <w:spacing w:after="40" w:before="40"/>
            </w:pPr>
            <w:r>
              <w:rPr>
                <w:sz w:val="16"/>
              </w:rPr>
              <w:t>Select Week then Month.</w:t>
            </w:r>
          </w:p>
        </w:tc>
        <w:tc>
          <w:tcPr>
            <w:tcW w:type="dxa" w:w="3312"/>
            <w:vAlign w:val="center"/>
            <w:shd w:fill="F4F8F5"/>
          </w:tcPr>
          <w:p>
            <w:pPr>
              <w:spacing w:after="40" w:before="40"/>
            </w:pPr>
            <w:r>
              <w:rPr>
                <w:sz w:val="16"/>
              </w:rPr>
              <w:t>Selected range is highlighted and feedback confirms view.</w:t>
            </w:r>
          </w:p>
        </w:tc>
      </w:tr>
      <w:tr>
        <w:tc>
          <w:tcPr>
            <w:tcW w:type="dxa" w:w="792"/>
            <w:vAlign w:val="center"/>
          </w:tcPr>
          <w:p>
            <w:pPr>
              <w:spacing w:after="40" w:before="40"/>
            </w:pPr>
            <w:r>
              <w:rPr>
                <w:sz w:val="16"/>
              </w:rPr>
              <w:t>TC-03</w:t>
            </w:r>
          </w:p>
        </w:tc>
        <w:tc>
          <w:tcPr>
            <w:tcW w:type="dxa" w:w="1800"/>
            <w:vAlign w:val="center"/>
          </w:tcPr>
          <w:p>
            <w:pPr>
              <w:spacing w:after="40" w:before="40"/>
            </w:pPr>
            <w:r>
              <w:rPr>
                <w:sz w:val="16"/>
              </w:rPr>
              <w:t>Run agent scan</w:t>
            </w:r>
          </w:p>
        </w:tc>
        <w:tc>
          <w:tcPr>
            <w:tcW w:type="dxa" w:w="3384"/>
            <w:vAlign w:val="center"/>
          </w:tcPr>
          <w:p>
            <w:pPr>
              <w:spacing w:after="40" w:before="40"/>
            </w:pPr>
            <w:r>
              <w:rPr>
                <w:sz w:val="16"/>
              </w:rPr>
              <w:t>Select Run agent scan.</w:t>
            </w:r>
          </w:p>
        </w:tc>
        <w:tc>
          <w:tcPr>
            <w:tcW w:type="dxa" w:w="3312"/>
            <w:vAlign w:val="center"/>
          </w:tcPr>
          <w:p>
            <w:pPr>
              <w:spacing w:after="40" w:before="40"/>
            </w:pPr>
            <w:r>
              <w:rPr>
                <w:sz w:val="16"/>
              </w:rPr>
              <w:t>Scanning state completes and outcome is confirmed.</w:t>
            </w:r>
          </w:p>
        </w:tc>
      </w:tr>
      <w:tr>
        <w:tc>
          <w:tcPr>
            <w:tcW w:type="dxa" w:w="792"/>
            <w:vAlign w:val="center"/>
            <w:shd w:fill="F4F8F5"/>
          </w:tcPr>
          <w:p>
            <w:pPr>
              <w:spacing w:after="40" w:before="40"/>
            </w:pPr>
            <w:r>
              <w:rPr>
                <w:sz w:val="16"/>
              </w:rPr>
              <w:t>TC-04</w:t>
            </w:r>
          </w:p>
        </w:tc>
        <w:tc>
          <w:tcPr>
            <w:tcW w:type="dxa" w:w="1800"/>
            <w:vAlign w:val="center"/>
            <w:shd w:fill="F4F8F5"/>
          </w:tcPr>
          <w:p>
            <w:pPr>
              <w:spacing w:after="40" w:before="40"/>
            </w:pPr>
            <w:r>
              <w:rPr>
                <w:sz w:val="16"/>
              </w:rPr>
              <w:t>Apply recommendation</w:t>
            </w:r>
          </w:p>
        </w:tc>
        <w:tc>
          <w:tcPr>
            <w:tcW w:type="dxa" w:w="3384"/>
            <w:vAlign w:val="center"/>
            <w:shd w:fill="F4F8F5"/>
          </w:tcPr>
          <w:p>
            <w:pPr>
              <w:spacing w:after="40" w:before="40"/>
            </w:pPr>
            <w:r>
              <w:rPr>
                <w:sz w:val="16"/>
              </w:rPr>
              <w:t>Select Apply recommendation.</w:t>
            </w:r>
          </w:p>
        </w:tc>
        <w:tc>
          <w:tcPr>
            <w:tcW w:type="dxa" w:w="3312"/>
            <w:vAlign w:val="center"/>
            <w:shd w:fill="F4F8F5"/>
          </w:tcPr>
          <w:p>
            <w:pPr>
              <w:spacing w:after="40" w:before="40"/>
            </w:pPr>
            <w:r>
              <w:rPr>
                <w:sz w:val="16"/>
              </w:rPr>
              <w:t>Success message appears; action is marked applied.</w:t>
            </w:r>
          </w:p>
        </w:tc>
      </w:tr>
      <w:tr>
        <w:tc>
          <w:tcPr>
            <w:tcW w:type="dxa" w:w="792"/>
            <w:vAlign w:val="center"/>
          </w:tcPr>
          <w:p>
            <w:pPr>
              <w:spacing w:after="40" w:before="40"/>
            </w:pPr>
            <w:r>
              <w:rPr>
                <w:sz w:val="16"/>
              </w:rPr>
              <w:t>TC-05</w:t>
            </w:r>
          </w:p>
        </w:tc>
        <w:tc>
          <w:tcPr>
            <w:tcW w:type="dxa" w:w="1800"/>
            <w:vAlign w:val="center"/>
          </w:tcPr>
          <w:p>
            <w:pPr>
              <w:spacing w:after="40" w:before="40"/>
            </w:pPr>
            <w:r>
              <w:rPr>
                <w:sz w:val="16"/>
              </w:rPr>
              <w:t>Dismiss recommendation</w:t>
            </w:r>
          </w:p>
        </w:tc>
        <w:tc>
          <w:tcPr>
            <w:tcW w:type="dxa" w:w="3384"/>
            <w:vAlign w:val="center"/>
          </w:tcPr>
          <w:p>
            <w:pPr>
              <w:spacing w:after="40" w:before="40"/>
            </w:pPr>
            <w:r>
              <w:rPr>
                <w:sz w:val="16"/>
              </w:rPr>
              <w:t>Refresh and select Dismiss.</w:t>
            </w:r>
          </w:p>
        </w:tc>
        <w:tc>
          <w:tcPr>
            <w:tcW w:type="dxa" w:w="3312"/>
            <w:vAlign w:val="center"/>
          </w:tcPr>
          <w:p>
            <w:pPr>
              <w:spacing w:after="40" w:before="40"/>
            </w:pPr>
            <w:r>
              <w:rPr>
                <w:sz w:val="16"/>
              </w:rPr>
              <w:t>Recommendation disappears and dismissal is confirmed.</w:t>
            </w:r>
          </w:p>
        </w:tc>
      </w:tr>
      <w:tr>
        <w:tc>
          <w:tcPr>
            <w:tcW w:type="dxa" w:w="792"/>
            <w:vAlign w:val="center"/>
            <w:shd w:fill="F4F8F5"/>
          </w:tcPr>
          <w:p>
            <w:pPr>
              <w:spacing w:after="40" w:before="40"/>
            </w:pPr>
            <w:r>
              <w:rPr>
                <w:sz w:val="16"/>
              </w:rPr>
              <w:t>TC-06</w:t>
            </w:r>
          </w:p>
        </w:tc>
        <w:tc>
          <w:tcPr>
            <w:tcW w:type="dxa" w:w="1800"/>
            <w:vAlign w:val="center"/>
            <w:shd w:fill="F4F8F5"/>
          </w:tcPr>
          <w:p>
            <w:pPr>
              <w:spacing w:after="40" w:before="40"/>
            </w:pPr>
            <w:r>
              <w:rPr>
                <w:sz w:val="16"/>
              </w:rPr>
              <w:t>Telemetry validation</w:t>
            </w:r>
          </w:p>
        </w:tc>
        <w:tc>
          <w:tcPr>
            <w:tcW w:type="dxa" w:w="3384"/>
            <w:vAlign w:val="center"/>
            <w:shd w:fill="F4F8F5"/>
          </w:tcPr>
          <w:p>
            <w:pPr>
              <w:spacing w:after="40" w:before="40"/>
            </w:pPr>
            <w:r>
              <w:rPr>
                <w:sz w:val="16"/>
              </w:rPr>
              <w:t>Send missing ID or invalid numeric reading.</w:t>
            </w:r>
          </w:p>
        </w:tc>
        <w:tc>
          <w:tcPr>
            <w:tcW w:type="dxa" w:w="3312"/>
            <w:vAlign w:val="center"/>
            <w:shd w:fill="F4F8F5"/>
          </w:tcPr>
          <w:p>
            <w:pPr>
              <w:spacing w:after="40" w:before="40"/>
            </w:pPr>
            <w:r>
              <w:rPr>
                <w:sz w:val="16"/>
              </w:rPr>
              <w:t>Reading is rejected or quarantined with validation record.</w:t>
            </w:r>
          </w:p>
        </w:tc>
      </w:tr>
      <w:tr>
        <w:tc>
          <w:tcPr>
            <w:tcW w:type="dxa" w:w="792"/>
            <w:vAlign w:val="center"/>
          </w:tcPr>
          <w:p>
            <w:pPr>
              <w:spacing w:after="40" w:before="40"/>
            </w:pPr>
            <w:r>
              <w:rPr>
                <w:sz w:val="16"/>
              </w:rPr>
              <w:t>TC-07</w:t>
            </w:r>
          </w:p>
        </w:tc>
        <w:tc>
          <w:tcPr>
            <w:tcW w:type="dxa" w:w="1800"/>
            <w:vAlign w:val="center"/>
          </w:tcPr>
          <w:p>
            <w:pPr>
              <w:spacing w:after="40" w:before="40"/>
            </w:pPr>
            <w:r>
              <w:rPr>
                <w:sz w:val="16"/>
              </w:rPr>
              <w:t>Peak forecast</w:t>
            </w:r>
          </w:p>
        </w:tc>
        <w:tc>
          <w:tcPr>
            <w:tcW w:type="dxa" w:w="3384"/>
            <w:vAlign w:val="center"/>
          </w:tcPr>
          <w:p>
            <w:pPr>
              <w:spacing w:after="40" w:before="40"/>
            </w:pPr>
            <w:r>
              <w:rPr>
                <w:sz w:val="16"/>
              </w:rPr>
              <w:t>Provide rising demand before a tariff peak.</w:t>
            </w:r>
          </w:p>
        </w:tc>
        <w:tc>
          <w:tcPr>
            <w:tcW w:type="dxa" w:w="3312"/>
            <w:vAlign w:val="center"/>
          </w:tcPr>
          <w:p>
            <w:pPr>
              <w:spacing w:after="40" w:before="40"/>
            </w:pPr>
            <w:r>
              <w:rPr>
                <w:sz w:val="16"/>
              </w:rPr>
              <w:t>Forecast and a lower-cost action are produced.</w:t>
            </w:r>
          </w:p>
        </w:tc>
      </w:tr>
      <w:tr>
        <w:tc>
          <w:tcPr>
            <w:tcW w:type="dxa" w:w="792"/>
            <w:vAlign w:val="center"/>
            <w:shd w:fill="F4F8F5"/>
          </w:tcPr>
          <w:p>
            <w:pPr>
              <w:spacing w:after="40" w:before="40"/>
            </w:pPr>
            <w:r>
              <w:rPr>
                <w:sz w:val="16"/>
              </w:rPr>
              <w:t>TC-08</w:t>
            </w:r>
          </w:p>
        </w:tc>
        <w:tc>
          <w:tcPr>
            <w:tcW w:type="dxa" w:w="1800"/>
            <w:vAlign w:val="center"/>
            <w:shd w:fill="F4F8F5"/>
          </w:tcPr>
          <w:p>
            <w:pPr>
              <w:spacing w:after="40" w:before="40"/>
            </w:pPr>
            <w:r>
              <w:rPr>
                <w:sz w:val="16"/>
              </w:rPr>
              <w:t>Abnormal equipment load</w:t>
            </w:r>
          </w:p>
        </w:tc>
        <w:tc>
          <w:tcPr>
            <w:tcW w:type="dxa" w:w="3384"/>
            <w:vAlign w:val="center"/>
            <w:shd w:fill="F4F8F5"/>
          </w:tcPr>
          <w:p>
            <w:pPr>
              <w:spacing w:after="40" w:before="40"/>
            </w:pPr>
            <w:r>
              <w:rPr>
                <w:sz w:val="16"/>
              </w:rPr>
              <w:t>Send AHU power 18% over baseline for 47 minutes.</w:t>
            </w:r>
          </w:p>
        </w:tc>
        <w:tc>
          <w:tcPr>
            <w:tcW w:type="dxa" w:w="3312"/>
            <w:vAlign w:val="center"/>
            <w:shd w:fill="F4F8F5"/>
          </w:tcPr>
          <w:p>
            <w:pPr>
              <w:spacing w:after="40" w:before="40"/>
            </w:pPr>
            <w:r>
              <w:rPr>
                <w:sz w:val="16"/>
              </w:rPr>
              <w:t>Alert records device, deviation and severity.</w:t>
            </w:r>
          </w:p>
        </w:tc>
      </w:tr>
      <w:tr>
        <w:tc>
          <w:tcPr>
            <w:tcW w:type="dxa" w:w="792"/>
            <w:vAlign w:val="center"/>
          </w:tcPr>
          <w:p>
            <w:pPr>
              <w:spacing w:after="40" w:before="40"/>
            </w:pPr>
            <w:r>
              <w:rPr>
                <w:sz w:val="16"/>
              </w:rPr>
              <w:t>TC-09</w:t>
            </w:r>
          </w:p>
        </w:tc>
        <w:tc>
          <w:tcPr>
            <w:tcW w:type="dxa" w:w="1800"/>
            <w:vAlign w:val="center"/>
          </w:tcPr>
          <w:p>
            <w:pPr>
              <w:spacing w:after="40" w:before="40"/>
            </w:pPr>
            <w:r>
              <w:rPr>
                <w:sz w:val="16"/>
              </w:rPr>
              <w:t>Policy enforcement</w:t>
            </w:r>
          </w:p>
        </w:tc>
        <w:tc>
          <w:tcPr>
            <w:tcW w:type="dxa" w:w="3384"/>
            <w:vAlign w:val="center"/>
          </w:tcPr>
          <w:p>
            <w:pPr>
              <w:spacing w:after="40" w:before="40"/>
            </w:pPr>
            <w:r>
              <w:rPr>
                <w:sz w:val="16"/>
              </w:rPr>
              <w:t>Submit command outside allowed equipment hours.</w:t>
            </w:r>
          </w:p>
        </w:tc>
        <w:tc>
          <w:tcPr>
            <w:tcW w:type="dxa" w:w="3312"/>
            <w:vAlign w:val="center"/>
          </w:tcPr>
          <w:p>
            <w:pPr>
              <w:spacing w:after="40" w:before="40"/>
            </w:pPr>
            <w:r>
              <w:rPr>
                <w:sz w:val="16"/>
              </w:rPr>
              <w:t>Orchestrator blocks action and records reason.</w:t>
            </w:r>
          </w:p>
        </w:tc>
      </w:tr>
      <w:tr>
        <w:tc>
          <w:tcPr>
            <w:tcW w:type="dxa" w:w="792"/>
            <w:vAlign w:val="center"/>
            <w:shd w:fill="F4F8F5"/>
          </w:tcPr>
          <w:p>
            <w:pPr>
              <w:spacing w:after="40" w:before="40"/>
            </w:pPr>
            <w:r>
              <w:rPr>
                <w:sz w:val="16"/>
              </w:rPr>
              <w:t>TC-10</w:t>
            </w:r>
          </w:p>
        </w:tc>
        <w:tc>
          <w:tcPr>
            <w:tcW w:type="dxa" w:w="1800"/>
            <w:vAlign w:val="center"/>
            <w:shd w:fill="F4F8F5"/>
          </w:tcPr>
          <w:p>
            <w:pPr>
              <w:spacing w:after="40" w:before="40"/>
            </w:pPr>
            <w:r>
              <w:rPr>
                <w:sz w:val="16"/>
              </w:rPr>
              <w:t>Audit record</w:t>
            </w:r>
          </w:p>
        </w:tc>
        <w:tc>
          <w:tcPr>
            <w:tcW w:type="dxa" w:w="3384"/>
            <w:vAlign w:val="center"/>
            <w:shd w:fill="F4F8F5"/>
          </w:tcPr>
          <w:p>
            <w:pPr>
              <w:spacing w:after="40" w:before="40"/>
            </w:pPr>
            <w:r>
              <w:rPr>
                <w:sz w:val="16"/>
              </w:rPr>
              <w:t>Apply an approved command.</w:t>
            </w:r>
          </w:p>
        </w:tc>
        <w:tc>
          <w:tcPr>
            <w:tcW w:type="dxa" w:w="3312"/>
            <w:vAlign w:val="center"/>
            <w:shd w:fill="F4F8F5"/>
          </w:tcPr>
          <w:p>
            <w:pPr>
              <w:spacing w:after="40" w:before="40"/>
            </w:pPr>
            <w:r>
              <w:rPr>
                <w:sz w:val="16"/>
              </w:rPr>
              <w:t>Audit includes operator, recommendation, command status and timestamp.</w:t>
            </w:r>
          </w:p>
        </w:tc>
      </w:tr>
      <w:tr>
        <w:tc>
          <w:tcPr>
            <w:tcW w:type="dxa" w:w="792"/>
            <w:vAlign w:val="center"/>
          </w:tcPr>
          <w:p>
            <w:pPr>
              <w:spacing w:after="40" w:before="40"/>
            </w:pPr>
            <w:r>
              <w:rPr>
                <w:sz w:val="16"/>
              </w:rPr>
              <w:t>TC-11</w:t>
            </w:r>
          </w:p>
        </w:tc>
        <w:tc>
          <w:tcPr>
            <w:tcW w:type="dxa" w:w="1800"/>
            <w:vAlign w:val="center"/>
          </w:tcPr>
          <w:p>
            <w:pPr>
              <w:spacing w:after="40" w:before="40"/>
            </w:pPr>
            <w:r>
              <w:rPr>
                <w:sz w:val="16"/>
              </w:rPr>
              <w:t>Responsive layout</w:t>
            </w:r>
          </w:p>
        </w:tc>
        <w:tc>
          <w:tcPr>
            <w:tcW w:type="dxa" w:w="3384"/>
            <w:vAlign w:val="center"/>
          </w:tcPr>
          <w:p>
            <w:pPr>
              <w:spacing w:after="40" w:before="40"/>
            </w:pPr>
            <w:r>
              <w:rPr>
                <w:sz w:val="16"/>
              </w:rPr>
              <w:t>View at 375 px and 1024 px widths.</w:t>
            </w:r>
          </w:p>
        </w:tc>
        <w:tc>
          <w:tcPr>
            <w:tcW w:type="dxa" w:w="3312"/>
            <w:vAlign w:val="center"/>
          </w:tcPr>
          <w:p>
            <w:pPr>
              <w:spacing w:after="40" w:before="40"/>
            </w:pPr>
            <w:r>
              <w:rPr>
                <w:sz w:val="16"/>
              </w:rPr>
              <w:t>No horizontal overflow; content remains legible.</w:t>
            </w:r>
          </w:p>
        </w:tc>
      </w:tr>
      <w:tr>
        <w:tc>
          <w:tcPr>
            <w:tcW w:type="dxa" w:w="792"/>
            <w:vAlign w:val="center"/>
            <w:shd w:fill="F4F8F5"/>
          </w:tcPr>
          <w:p>
            <w:pPr>
              <w:spacing w:after="40" w:before="40"/>
            </w:pPr>
            <w:r>
              <w:rPr>
                <w:sz w:val="16"/>
              </w:rPr>
              <w:t>TC-12</w:t>
            </w:r>
          </w:p>
        </w:tc>
        <w:tc>
          <w:tcPr>
            <w:tcW w:type="dxa" w:w="1800"/>
            <w:vAlign w:val="center"/>
            <w:shd w:fill="F4F8F5"/>
          </w:tcPr>
          <w:p>
            <w:pPr>
              <w:spacing w:after="40" w:before="40"/>
            </w:pPr>
            <w:r>
              <w:rPr>
                <w:sz w:val="16"/>
              </w:rPr>
              <w:t>Access control</w:t>
            </w:r>
          </w:p>
        </w:tc>
        <w:tc>
          <w:tcPr>
            <w:tcW w:type="dxa" w:w="3384"/>
            <w:vAlign w:val="center"/>
            <w:shd w:fill="F4F8F5"/>
          </w:tcPr>
          <w:p>
            <w:pPr>
              <w:spacing w:after="40" w:before="40"/>
            </w:pPr>
            <w:r>
              <w:rPr>
                <w:sz w:val="16"/>
              </w:rPr>
              <w:t>Attempt a command as read-only user.</w:t>
            </w:r>
          </w:p>
        </w:tc>
        <w:tc>
          <w:tcPr>
            <w:tcW w:type="dxa" w:w="3312"/>
            <w:vAlign w:val="center"/>
            <w:shd w:fill="F4F8F5"/>
          </w:tcPr>
          <w:p>
            <w:pPr>
              <w:spacing w:after="40" w:before="40"/>
            </w:pPr>
            <w:r>
              <w:rPr>
                <w:sz w:val="16"/>
              </w:rPr>
              <w:t>System blocks the command with authorisation message.</w:t>
            </w:r>
          </w:p>
        </w:tc>
      </w:tr>
    </w:tbl>
    <w:p>
      <w:pPr>
        <w:spacing w:after="60"/>
      </w:pPr>
    </w:p>
    <w:p>
      <w:pPr>
        <w:pStyle w:val="Heading1"/>
      </w:pPr>
      <w:r>
        <w:t>7 Suggested production architecture</w:t>
      </w:r>
    </w:p>
    <w:p>
      <w:r>
        <w:t>Use MQTT or HTTPS gateways for device integration, a time-series database and event queue for telemetry, containerised agent services with a policy engine, an authenticated API, a responsive web dashboard with WebSocket updates, and central logs with immutable audit storage.</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GridWise IoT Energy Management System  |  Requirements and Test Cases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