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4FA" w:rsidP="008624FA" w:rsidRDefault="008624FA" w14:paraId="7CC79A5E" w14:textId="77777777">
      <w:pPr>
        <w:spacing w:after="0" w:line="240" w:lineRule="auto"/>
      </w:pPr>
      <w:r>
        <w:t>Tanya Lama</w:t>
      </w:r>
    </w:p>
    <w:p w:rsidR="008624FA" w:rsidP="008624FA" w:rsidRDefault="008624FA" w14:paraId="107A1325" w14:textId="77777777">
      <w:pPr>
        <w:spacing w:after="0" w:line="240" w:lineRule="auto"/>
      </w:pPr>
      <w:r>
        <w:t>PhD Candidate, Dept of Environmental Conservation</w:t>
      </w:r>
    </w:p>
    <w:p w:rsidR="008624FA" w:rsidP="008624FA" w:rsidRDefault="008624FA" w14:paraId="363D23D2" w14:textId="77777777">
      <w:pPr>
        <w:spacing w:after="0" w:line="240" w:lineRule="auto"/>
      </w:pPr>
      <w:r>
        <w:t>University of Massachusetts Amherst</w:t>
      </w:r>
    </w:p>
    <w:p w:rsidRPr="008624FA" w:rsidR="008624FA" w:rsidP="008624FA" w:rsidRDefault="00622BA7" w14:paraId="4FEAC655" w14:textId="25AE79C7">
      <w:pPr>
        <w:spacing w:after="0" w:line="240" w:lineRule="auto"/>
      </w:pPr>
      <w:hyperlink r:id="R5dbee32008b947e7">
        <w:r w:rsidRPr="1682CDDD" w:rsidR="1682CDDD">
          <w:rPr>
            <w:rStyle w:val="Hyperlink"/>
          </w:rPr>
          <w:t>tlama@eco.umass.edu</w:t>
        </w:r>
      </w:hyperlink>
    </w:p>
    <w:p w:rsidRPr="00E35194" w:rsidR="002133DC" w:rsidP="002133DC" w:rsidRDefault="002133DC" w14:paraId="64BAD08F" w14:textId="0A95558A">
      <w:pPr>
        <w:rPr>
          <w:b/>
        </w:rPr>
      </w:pPr>
      <w:r w:rsidRPr="00E35194">
        <w:rPr>
          <w:b/>
        </w:rPr>
        <w:t xml:space="preserve">Historic and contemporary effective population sizes for </w:t>
      </w:r>
      <w:r w:rsidRPr="00E35194" w:rsidR="00163E65">
        <w:rPr>
          <w:b/>
        </w:rPr>
        <w:t>six</w:t>
      </w:r>
      <w:r w:rsidRPr="00E35194">
        <w:rPr>
          <w:b/>
        </w:rPr>
        <w:t xml:space="preserve"> populations of Canada lynx</w:t>
      </w:r>
      <w:r w:rsidRPr="00E35194">
        <w:rPr>
          <w:rStyle w:val="CommentReference"/>
          <w:sz w:val="24"/>
          <w:szCs w:val="24"/>
        </w:rPr>
        <w:annotationRef/>
      </w:r>
    </w:p>
    <w:p w:rsidRPr="00E35194" w:rsidR="002133DC" w:rsidP="1682CDDD" w:rsidRDefault="002133DC" w14:paraId="6DDFFB60" w14:noSpellErr="1" w14:textId="6DF3B2E9">
      <w:pPr>
        <w:pStyle w:val="Normal"/>
        <w:spacing w:after="0" w:line="240" w:lineRule="auto"/>
        <w:jc w:val="center"/>
      </w:pPr>
      <w:r w:rsidR="1682CDDD">
        <w:rPr/>
        <w:t xml:space="preserve">Graduate </w:t>
      </w:r>
      <w:r w:rsidR="1682CDDD">
        <w:rPr/>
        <w:t>Co-</w:t>
      </w:r>
      <w:r w:rsidR="1682CDDD">
        <w:rPr/>
        <w:t>Adviser</w:t>
      </w:r>
      <w:r w:rsidR="1682CDDD">
        <w:rPr/>
        <w:t>s</w:t>
      </w:r>
      <w:r w:rsidR="1682CDDD">
        <w:rPr/>
        <w:t>: Dr</w:t>
      </w:r>
      <w:r w:rsidR="1682CDDD">
        <w:rPr/>
        <w:t>s</w:t>
      </w:r>
      <w:r w:rsidR="1682CDDD">
        <w:rPr/>
        <w:t xml:space="preserve">. </w:t>
      </w:r>
      <w:r w:rsidR="1682CDDD">
        <w:rPr/>
        <w:t>John Organ</w:t>
      </w:r>
      <w:r w:rsidR="1682CDDD">
        <w:rPr/>
        <w:t xml:space="preserve"> &amp; </w:t>
      </w:r>
      <w:r w:rsidR="1682CDDD">
        <w:rPr/>
        <w:t>Stephen DeStefano</w:t>
      </w:r>
    </w:p>
    <w:p w:rsidRPr="00E35194" w:rsidR="002133DC" w:rsidP="002133DC" w:rsidRDefault="002133DC" w14:paraId="44BB94A0" w14:textId="77777777">
      <w:pPr>
        <w:spacing w:after="0" w:line="240" w:lineRule="auto"/>
        <w:jc w:val="center"/>
      </w:pPr>
      <w:r w:rsidRPr="00E35194">
        <w:t>Technical Adviser: Dr. Warren Johnson, Smithsonian Institution</w:t>
      </w:r>
    </w:p>
    <w:p w:rsidRPr="00E35194" w:rsidR="009A6EE3" w:rsidP="1682CDDD" w:rsidRDefault="004843EF" w14:paraId="59F0AAA0" w14:textId="6B41969D" w14:noSpellErr="1">
      <w:pPr>
        <w:rPr>
          <w:u w:val="single"/>
        </w:rPr>
      </w:pPr>
      <w:r w:rsidRPr="1682CDDD" w:rsidR="1682CDDD">
        <w:rPr>
          <w:u w:val="single"/>
        </w:rPr>
        <w:t>Project Description</w:t>
      </w:r>
    </w:p>
    <w:p w:rsidRPr="00E35194" w:rsidR="002C4B97" w:rsidP="000A3A42" w:rsidRDefault="009A6EE3" w14:paraId="555A90A8" w14:noSpellErr="1" w14:textId="55C11FAD">
      <w:pPr>
        <w:ind w:firstLine="720"/>
      </w:pPr>
      <w:r w:rsidR="1682CDDD">
        <w:rPr/>
        <w:t xml:space="preserve">The US Fish &amp; Wildlife Service recently announced the completion of a scientific review of Canada lynx </w:t>
      </w:r>
      <w:r w:rsidRPr="1682CDDD" w:rsidR="1682CDDD">
        <w:rPr>
          <w:i w:val="1"/>
          <w:iCs w:val="1"/>
        </w:rPr>
        <w:t>(Lynx canadensis)</w:t>
      </w:r>
      <w:r w:rsidR="1682CDDD">
        <w:rPr/>
        <w:t xml:space="preserve"> populations in the contiguous United States, concluding that the </w:t>
      </w:r>
      <w:r w:rsidR="1682CDDD">
        <w:rPr/>
        <w:t>species</w:t>
      </w:r>
      <w:r w:rsidR="1682CDDD">
        <w:rPr/>
        <w:t xml:space="preserve"> no longer warrants protection under the Endangered Species Act and should be considered for delisting due to recovery</w:t>
      </w:r>
      <w:r w:rsidR="1682CDDD">
        <w:rPr/>
        <w:t xml:space="preserve"> (FWS 201</w:t>
      </w:r>
      <w:r w:rsidR="1682CDDD">
        <w:rPr/>
        <w:t>7</w:t>
      </w:r>
      <w:r w:rsidR="1682CDDD">
        <w:rPr/>
        <w:t>)</w:t>
      </w:r>
      <w:r w:rsidR="1682CDDD">
        <w:rPr/>
        <w:t xml:space="preserve">. However, the review also acknowledges the need for reliable estimates of historic and contemporary population </w:t>
      </w:r>
      <w:r w:rsidR="1682CDDD">
        <w:rPr/>
        <w:t>size</w:t>
      </w:r>
      <w:r w:rsidR="1682CDDD">
        <w:rPr/>
        <w:t xml:space="preserve"> for each of the six </w:t>
      </w:r>
      <w:r w:rsidR="1682CDDD">
        <w:rPr/>
        <w:t>populations</w:t>
      </w:r>
      <w:r w:rsidR="1682CDDD">
        <w:rPr/>
        <w:t xml:space="preserve">. </w:t>
      </w:r>
      <w:r w:rsidR="1682CDDD">
        <w:rPr/>
        <w:t>D</w:t>
      </w:r>
      <w:r w:rsidR="1682CDDD">
        <w:rPr/>
        <w:t>emographic history</w:t>
      </w:r>
      <w:r w:rsidR="1682CDDD">
        <w:rPr/>
        <w:t>,</w:t>
      </w:r>
      <w:r w:rsidR="1682CDDD">
        <w:rPr/>
        <w:t xml:space="preserve"> including bottlenecks, migration patterns, range expansions </w:t>
      </w:r>
      <w:r w:rsidR="1682CDDD">
        <w:rPr/>
        <w:t>and changes in population size</w:t>
      </w:r>
      <w:r w:rsidR="1682CDDD">
        <w:rPr/>
        <w:t xml:space="preserve"> is of great interest to conservation biologists</w:t>
      </w:r>
      <w:r w:rsidR="1682CDDD">
        <w:rPr/>
        <w:t xml:space="preserve"> (Miller et al. 2012)</w:t>
      </w:r>
      <w:r w:rsidR="1682CDDD">
        <w:rPr/>
        <w:t>. Past events may influence the genetic health, diversity, and connectivity of contemporary populations and thus their likelihood of adapting to change and persisting on the landscape.</w:t>
      </w:r>
    </w:p>
    <w:p w:rsidRPr="00E35194" w:rsidR="00890C01" w:rsidP="005D7374" w:rsidRDefault="00CF6CD9" w14:paraId="5BA446E2" w14:textId="60459D6B">
      <w:pPr>
        <w:ind w:firstLine="720"/>
      </w:pPr>
      <w:r w:rsidR="1682CDDD">
        <w:rPr/>
        <w:t>The Canada lynx is a wide-ranging felid</w:t>
      </w:r>
      <w:r w:rsidR="1682CDDD">
        <w:rPr/>
        <w:t xml:space="preserve"> that has evolved morphological, behavioral, and physiological specializations unique to its northern boreal forest habitat and heavy reliance on its primary prey, the snowshoe hare </w:t>
      </w:r>
      <w:r w:rsidRPr="1682CDDD" w:rsidR="1682CDDD">
        <w:rPr>
          <w:i w:val="1"/>
          <w:iCs w:val="1"/>
        </w:rPr>
        <w:t xml:space="preserve">(Lepus </w:t>
      </w:r>
      <w:proofErr w:type="spellStart"/>
      <w:r w:rsidRPr="1682CDDD" w:rsidR="1682CDDD">
        <w:rPr>
          <w:i w:val="1"/>
          <w:iCs w:val="1"/>
        </w:rPr>
        <w:t>americanus</w:t>
      </w:r>
      <w:proofErr w:type="spellEnd"/>
      <w:r w:rsidRPr="1682CDDD" w:rsidR="1682CDDD">
        <w:rPr>
          <w:i w:val="1"/>
          <w:iCs w:val="1"/>
        </w:rPr>
        <w:t>)</w:t>
      </w:r>
      <w:r w:rsidR="1682CDDD">
        <w:rPr/>
        <w:t xml:space="preserve">. </w:t>
      </w:r>
      <w:r w:rsidR="1682CDDD">
        <w:rPr/>
        <w:t xml:space="preserve">Due to their elusive nature, wild cats are especially </w:t>
      </w:r>
      <w:r w:rsidR="1682CDDD">
        <w:rPr/>
        <w:t>difficult</w:t>
      </w:r>
      <w:r w:rsidR="1682CDDD">
        <w:rPr/>
        <w:t xml:space="preserve"> to monitor and study at meaningful scales, and thus demographic data are often </w:t>
      </w:r>
      <w:r w:rsidR="1682CDDD">
        <w:rPr/>
        <w:t>unavailable</w:t>
      </w:r>
      <w:r w:rsidR="1682CDDD">
        <w:rPr/>
        <w:t xml:space="preserve"> to guide appropriate conservation action o</w:t>
      </w:r>
      <w:r w:rsidR="1682CDDD">
        <w:rPr/>
        <w:t>r</w:t>
      </w:r>
      <w:r w:rsidR="1682CDDD">
        <w:rPr/>
        <w:t xml:space="preserve"> test hypotheses regarding population viability (</w:t>
      </w:r>
      <w:proofErr w:type="spellStart"/>
      <w:r w:rsidR="1682CDDD">
        <w:rPr/>
        <w:t>Gom</w:t>
      </w:r>
      <w:r w:rsidR="1682CDDD">
        <w:rPr/>
        <w:t>p</w:t>
      </w:r>
      <w:r w:rsidR="1682CDDD">
        <w:rPr/>
        <w:t>per</w:t>
      </w:r>
      <w:proofErr w:type="spellEnd"/>
      <w:r w:rsidR="1682CDDD">
        <w:rPr/>
        <w:t xml:space="preserve"> et al. 2006). </w:t>
      </w:r>
      <w:r w:rsidR="1682CDDD">
        <w:rPr/>
        <w:t>In collaboration with an interdisciplinary team of experts from</w:t>
      </w:r>
      <w:r w:rsidR="1682CDDD">
        <w:rPr/>
        <w:t xml:space="preserve"> field biolog</w:t>
      </w:r>
      <w:r w:rsidR="1682CDDD">
        <w:rPr/>
        <w:t>y</w:t>
      </w:r>
      <w:r w:rsidR="1682CDDD">
        <w:rPr/>
        <w:t xml:space="preserve">, genomics, and </w:t>
      </w:r>
      <w:r w:rsidR="1682CDDD">
        <w:rPr/>
        <w:t>bioinformatics</w:t>
      </w:r>
      <w:r w:rsidR="1682CDDD">
        <w:rPr/>
        <w:t xml:space="preserve"> </w:t>
      </w:r>
      <w:r w:rsidR="1682CDDD">
        <w:rPr/>
        <w:t>we have</w:t>
      </w:r>
      <w:r w:rsidR="1682CDDD">
        <w:rPr/>
        <w:t xml:space="preserve"> </w:t>
      </w:r>
      <w:r w:rsidR="1682CDDD">
        <w:rPr/>
        <w:t>complete</w:t>
      </w:r>
      <w:r w:rsidR="1682CDDD">
        <w:rPr/>
        <w:t>d</w:t>
      </w:r>
      <w:r w:rsidR="1682CDDD">
        <w:rPr/>
        <w:t xml:space="preserve"> </w:t>
      </w:r>
      <w:r w:rsidR="1682CDDD">
        <w:rPr/>
        <w:t>the first assembl</w:t>
      </w:r>
      <w:r w:rsidR="1682CDDD">
        <w:rPr/>
        <w:t>ed</w:t>
      </w:r>
      <w:r w:rsidR="1682CDDD">
        <w:rPr/>
        <w:t>, annotated reference genome for Canada ly</w:t>
      </w:r>
      <w:r w:rsidR="1682CDDD">
        <w:rPr/>
        <w:t>nx</w:t>
      </w:r>
      <w:r w:rsidR="1682CDDD">
        <w:rPr/>
        <w:t xml:space="preserve"> (</w:t>
      </w:r>
      <w:proofErr w:type="spellStart"/>
      <w:r w:rsidR="1682CDDD">
        <w:rPr/>
        <w:t>Koepfli</w:t>
      </w:r>
      <w:proofErr w:type="spellEnd"/>
      <w:r w:rsidR="1682CDDD">
        <w:rPr/>
        <w:t xml:space="preserve"> et al. 2015)</w:t>
      </w:r>
      <w:r w:rsidR="1682CDDD">
        <w:rPr/>
        <w:t xml:space="preserve">. In this project, we aim to use </w:t>
      </w:r>
      <w:r w:rsidR="1682CDDD">
        <w:rPr/>
        <w:t>our</w:t>
      </w:r>
      <w:r w:rsidR="1682CDDD">
        <w:rPr/>
        <w:t xml:space="preserve"> Canada lynx reference genome and additional population-level genome sequence data to address </w:t>
      </w:r>
      <w:r w:rsidR="1682CDDD">
        <w:rPr/>
        <w:t xml:space="preserve">critical knowledge gaps </w:t>
      </w:r>
      <w:r w:rsidR="1682CDDD">
        <w:rPr/>
        <w:t>in lynx demography.</w:t>
      </w:r>
      <w:r w:rsidR="1682CDDD">
        <w:rPr/>
        <w:t xml:space="preserve"> Ultimately our goal </w:t>
      </w:r>
      <w:r w:rsidR="1682CDDD">
        <w:rPr/>
        <w:t xml:space="preserve">is </w:t>
      </w:r>
      <w:r w:rsidR="1682CDDD">
        <w:rPr/>
        <w:t xml:space="preserve">to translate </w:t>
      </w:r>
      <w:r w:rsidR="1682CDDD">
        <w:rPr/>
        <w:t xml:space="preserve">our </w:t>
      </w:r>
      <w:r w:rsidR="1682CDDD">
        <w:rPr/>
        <w:t>findings into recommendations for state and federal partners designing and implementing management strategies for lynx conservation.</w:t>
      </w:r>
    </w:p>
    <w:p w:rsidRPr="00E35194" w:rsidR="00D90A7B" w:rsidP="005D7374" w:rsidRDefault="009A6EE3" w14:paraId="09423171" w14:noSpellErr="1" w14:textId="4875925F">
      <w:pPr>
        <w:ind w:firstLine="720"/>
      </w:pPr>
      <w:r w:rsidR="1682CDDD">
        <w:rPr/>
        <w:t xml:space="preserve">Whole genome resequencing (WGR) is a powerful </w:t>
      </w:r>
      <w:r w:rsidR="1682CDDD">
        <w:rPr/>
        <w:t>tool</w:t>
      </w:r>
      <w:r w:rsidR="1682CDDD">
        <w:rPr/>
        <w:t xml:space="preserve"> for addressing fundamental questions about wild populations that have not been resolved using traditional </w:t>
      </w:r>
      <w:r w:rsidR="1682CDDD">
        <w:rPr/>
        <w:t xml:space="preserve">genetic </w:t>
      </w:r>
      <w:r w:rsidR="1682CDDD">
        <w:rPr/>
        <w:t xml:space="preserve">methods. Low-coverage </w:t>
      </w:r>
      <w:r w:rsidR="1682CDDD">
        <w:rPr/>
        <w:t>whole genome resequencing</w:t>
      </w:r>
      <w:r w:rsidR="1682CDDD">
        <w:rPr/>
        <w:t xml:space="preserve"> is a </w:t>
      </w:r>
      <w:r w:rsidR="1682CDDD">
        <w:rPr/>
        <w:t xml:space="preserve">population-based approach that aims to produce data (e.g. allele frequencies) from multiple </w:t>
      </w:r>
      <w:r w:rsidR="1682CDDD">
        <w:rPr/>
        <w:t>genomes</w:t>
      </w:r>
      <w:r w:rsidR="1682CDDD">
        <w:rPr/>
        <w:t xml:space="preserve"> </w:t>
      </w:r>
      <w:r w:rsidR="1682CDDD">
        <w:rPr/>
        <w:t>and</w:t>
      </w:r>
      <w:r w:rsidR="1682CDDD">
        <w:rPr/>
        <w:t xml:space="preserve"> </w:t>
      </w:r>
      <w:r w:rsidR="1682CDDD">
        <w:rPr/>
        <w:t>requires the availability of a reference genome.</w:t>
      </w:r>
      <w:r w:rsidR="1682CDDD">
        <w:rPr/>
        <w:t xml:space="preserve"> </w:t>
      </w:r>
      <w:r w:rsidRPr="1682CDDD" w:rsidR="1682CDDD">
        <w:rPr>
          <w:color w:val="000000" w:themeColor="text1" w:themeTint="FF" w:themeShade="FF"/>
        </w:rPr>
        <w:t>We aim</w:t>
      </w:r>
      <w:r w:rsidRPr="1682CDDD" w:rsidR="1682CDDD">
        <w:rPr>
          <w:color w:val="000000" w:themeColor="text1" w:themeTint="FF" w:themeShade="FF"/>
        </w:rPr>
        <w:t xml:space="preserve"> to perform low-coverage </w:t>
      </w:r>
      <w:r w:rsidRPr="1682CDDD" w:rsidR="1682CDDD">
        <w:rPr>
          <w:color w:val="000000" w:themeColor="text1" w:themeTint="FF" w:themeShade="FF"/>
        </w:rPr>
        <w:t>whole genome resequencing</w:t>
      </w:r>
      <w:r w:rsidRPr="1682CDDD" w:rsidR="1682CDDD">
        <w:rPr>
          <w:color w:val="000000" w:themeColor="text1" w:themeTint="FF" w:themeShade="FF"/>
        </w:rPr>
        <w:t xml:space="preserve"> of Canada lynx from six populations in the contiguous US (</w:t>
      </w:r>
      <w:r w:rsidR="1682CDDD">
        <w:rPr/>
        <w:t>Northern Maine, Northeastern Minnesota, Northwestern Montana/Northeastern Idaho, North Central Washington, Greater Yellowstone Area, Western Colorado)</w:t>
      </w:r>
      <w:r w:rsidR="1682CDDD">
        <w:rPr/>
        <w:t xml:space="preserve">. The generated sequence data will be aligned to our Canada lynx reference genome, mined for genome-wide variation, and used to </w:t>
      </w:r>
      <w:r w:rsidR="1682CDDD">
        <w:rPr/>
        <w:t xml:space="preserve">infer population structure, </w:t>
      </w:r>
      <w:r w:rsidR="1682CDDD">
        <w:rPr/>
        <w:t xml:space="preserve">reconstruct demographic </w:t>
      </w:r>
      <w:r w:rsidR="1682CDDD">
        <w:rPr/>
        <w:t>history</w:t>
      </w:r>
      <w:r w:rsidR="1682CDDD">
        <w:rPr/>
        <w:t>,</w:t>
      </w:r>
      <w:r w:rsidR="1682CDDD">
        <w:rPr/>
        <w:t xml:space="preserve"> and</w:t>
      </w:r>
      <w:r w:rsidR="1682CDDD">
        <w:rPr/>
        <w:t xml:space="preserve"> </w:t>
      </w:r>
      <w:r w:rsidR="1682CDDD">
        <w:rPr/>
        <w:t>estimate current population sizes</w:t>
      </w:r>
      <w:r w:rsidR="1682CDDD">
        <w:rPr/>
        <w:t xml:space="preserve"> (Reed et al. 2005)</w:t>
      </w:r>
      <w:r w:rsidR="1682CDDD">
        <w:rPr/>
        <w:t xml:space="preserve">. </w:t>
      </w:r>
    </w:p>
    <w:p w:rsidRPr="00E35194" w:rsidR="00B643FA" w:rsidP="00E35194" w:rsidRDefault="00B643FA" w14:paraId="24077FA4" w14:textId="5ABAAC10">
      <w:pPr>
        <w:rPr>
          <w:u w:val="single"/>
        </w:rPr>
      </w:pPr>
      <w:r w:rsidRPr="00E35194">
        <w:rPr>
          <w:u w:val="single"/>
        </w:rPr>
        <w:t>Sample</w:t>
      </w:r>
      <w:r w:rsidRPr="00E35194" w:rsidR="001C769F">
        <w:rPr>
          <w:u w:val="single"/>
        </w:rPr>
        <w:t>s</w:t>
      </w:r>
      <w:r w:rsidRPr="00E35194">
        <w:rPr>
          <w:u w:val="single"/>
        </w:rPr>
        <w:t xml:space="preserve"> and Methods</w:t>
      </w:r>
    </w:p>
    <w:p w:rsidRPr="00E35194" w:rsidR="005D70F1" w:rsidP="1682CDDD" w:rsidRDefault="005D70F1" w14:noSpellErr="1" w14:paraId="608F8A71" w14:textId="18C20EBB">
      <w:pPr>
        <w:pStyle w:val="Normal"/>
        <w:ind w:firstLine="720"/>
        <w:rPr>
          <w:u w:val="single"/>
        </w:rPr>
      </w:pPr>
      <w:r w:rsidR="1682CDDD">
        <w:rPr/>
        <w:t xml:space="preserve">We have access to a wide collection of tissue samples from the Smithsonian Institute Frozen Collection as well as State and Federal </w:t>
      </w:r>
      <w:r w:rsidR="1682CDDD">
        <w:rPr/>
        <w:t>agenc</w:t>
      </w:r>
      <w:r w:rsidR="1682CDDD">
        <w:rPr/>
        <w:t xml:space="preserve">y </w:t>
      </w:r>
      <w:r w:rsidR="1682CDDD">
        <w:rPr/>
        <w:t>partner</w:t>
      </w:r>
      <w:r w:rsidR="1682CDDD">
        <w:rPr/>
        <w:t>s</w:t>
      </w:r>
      <w:r w:rsidR="1682CDDD">
        <w:rPr/>
        <w:t>,</w:t>
      </w:r>
      <w:r w:rsidR="1682CDDD">
        <w:rPr/>
        <w:t xml:space="preserve"> which frequently biobank samples </w:t>
      </w:r>
      <w:r w:rsidR="1682CDDD">
        <w:rPr/>
        <w:t xml:space="preserve">from vehicle mortalities and </w:t>
      </w:r>
      <w:r w:rsidR="1682CDDD">
        <w:rPr/>
        <w:t xml:space="preserve">Canada lynx </w:t>
      </w:r>
      <w:r w:rsidR="1682CDDD">
        <w:rPr/>
        <w:t>incidentally caught</w:t>
      </w:r>
      <w:r w:rsidR="1682CDDD">
        <w:rPr/>
        <w:t xml:space="preserve"> during the fur</w:t>
      </w:r>
      <w:r w:rsidR="1682CDDD">
        <w:rPr/>
        <w:t>-</w:t>
      </w:r>
      <w:r w:rsidR="1682CDDD">
        <w:rPr/>
        <w:t xml:space="preserve">trapping season. </w:t>
      </w:r>
      <w:r w:rsidR="1682CDDD">
        <w:rPr/>
        <w:t xml:space="preserve">Two </w:t>
      </w:r>
      <w:r w:rsidR="1682CDDD">
        <w:rPr/>
        <w:t xml:space="preserve">adult </w:t>
      </w:r>
      <w:proofErr w:type="gramStart"/>
      <w:r w:rsidR="1682CDDD">
        <w:rPr/>
        <w:t>lynx</w:t>
      </w:r>
      <w:proofErr w:type="gramEnd"/>
      <w:r w:rsidR="1682CDDD">
        <w:rPr/>
        <w:t xml:space="preserve"> from each of the six populations</w:t>
      </w:r>
      <w:r w:rsidR="1682CDDD">
        <w:rPr/>
        <w:t xml:space="preserve"> will be selected for whole genome resequencing</w:t>
      </w:r>
      <w:r w:rsidR="1682CDDD">
        <w:rPr/>
        <w:t xml:space="preserve">. </w:t>
      </w:r>
      <w:r w:rsidR="1682CDDD">
        <w:rPr/>
        <w:t xml:space="preserve">An average genome coverage of </w:t>
      </w:r>
      <w:r w:rsidR="1682CDDD">
        <w:rPr/>
        <w:t>18</w:t>
      </w:r>
      <w:r w:rsidR="1682CDDD">
        <w:rPr/>
        <w:t xml:space="preserve">X per individual </w:t>
      </w:r>
      <w:r w:rsidR="1682CDDD">
        <w:rPr/>
        <w:t>is required for</w:t>
      </w:r>
      <w:r w:rsidR="1682CDDD">
        <w:rPr/>
        <w:t xml:space="preserve"> proper inference of demographic history using common methods</w:t>
      </w:r>
      <w:r w:rsidR="1682CDDD">
        <w:rPr/>
        <w:t>.</w:t>
      </w:r>
      <w:r w:rsidR="1682CDDD">
        <w:rPr/>
        <w:t xml:space="preserve"> </w:t>
      </w:r>
      <w:r w:rsidR="1682CDDD">
        <w:rPr/>
        <w:t>High molecular weight DNA will be extracted from the samples</w:t>
      </w:r>
      <w:r w:rsidR="1682CDDD">
        <w:rPr/>
        <w:t xml:space="preserve">, prepared </w:t>
      </w:r>
      <w:r w:rsidR="1682CDDD">
        <w:rPr/>
        <w:t>in libraries and sequenced on a next generation platform</w:t>
      </w:r>
      <w:r w:rsidR="1682CDDD">
        <w:rPr/>
        <w:t xml:space="preserve"> at</w:t>
      </w:r>
      <w:r w:rsidR="1682CDDD">
        <w:rPr/>
        <w:t xml:space="preserve"> the University of Massachusetts Amherst under the supervision of technical </w:t>
      </w:r>
      <w:r w:rsidR="1682CDDD">
        <w:rPr/>
        <w:t>adviser</w:t>
      </w:r>
      <w:r w:rsidR="1682CDDD">
        <w:rPr/>
        <w:t>s</w:t>
      </w:r>
      <w:r w:rsidR="1682CDDD">
        <w:rPr/>
        <w:t xml:space="preserve"> </w:t>
      </w:r>
      <w:r w:rsidR="1682CDDD">
        <w:rPr/>
        <w:t xml:space="preserve">Dr. </w:t>
      </w:r>
      <w:r w:rsidR="1682CDDD">
        <w:rPr/>
        <w:t>Warren Johnson (Smithsonian Institute</w:t>
      </w:r>
      <w:r w:rsidR="1682CDDD">
        <w:rPr/>
        <w:t>)</w:t>
      </w:r>
      <w:r w:rsidR="1682CDDD">
        <w:rPr/>
        <w:t xml:space="preserve"> and Dr. Ravi Ranjan (UMass Genomics Resource Lab)</w:t>
      </w:r>
      <w:r w:rsidR="1682CDDD">
        <w:rPr/>
        <w:t xml:space="preserve">. The amount of tissue and DNA required for library preparation is relatively small. Therefore, the remaining tissue and extracted DNA will be stored as part of the NHC Natural History Collection, available for future work on genetics or other research endeavors. </w:t>
      </w:r>
    </w:p>
    <w:p w:rsidRPr="00E35194" w:rsidR="005D70F1" w:rsidP="1682CDDD" w:rsidRDefault="005D70F1" w14:paraId="1780E1F4" w14:noSpellErr="1" w14:textId="2E5A290D">
      <w:pPr>
        <w:pStyle w:val="Normal"/>
        <w:ind w:firstLine="0"/>
        <w:rPr>
          <w:u w:val="single"/>
        </w:rPr>
      </w:pPr>
      <w:r w:rsidRPr="1682CDDD" w:rsidR="1682CDDD">
        <w:rPr>
          <w:u w:val="single"/>
        </w:rPr>
        <w:t>Budget</w:t>
      </w:r>
    </w:p>
    <w:tbl>
      <w:tblPr>
        <w:tblStyle w:val="TableGrid"/>
        <w:tblW w:w="0" w:type="auto"/>
        <w:tblLook w:val="04A0" w:firstRow="1" w:lastRow="0" w:firstColumn="1" w:lastColumn="0" w:noHBand="0" w:noVBand="1"/>
      </w:tblPr>
      <w:tblGrid>
        <w:gridCol w:w="3116"/>
        <w:gridCol w:w="3117"/>
        <w:gridCol w:w="3117"/>
      </w:tblGrid>
      <w:tr w:rsidRPr="00E35194" w:rsidR="005D70F1" w:rsidTr="1682CDDD" w14:paraId="6BB4EDFF" w14:textId="77777777">
        <w:tc>
          <w:tcPr>
            <w:tcW w:w="3116" w:type="dxa"/>
            <w:tcMar/>
          </w:tcPr>
          <w:p w:rsidRPr="00E35194" w:rsidR="005D70F1" w:rsidP="1682CDDD" w:rsidRDefault="005D70F1" w14:paraId="466911AD" w14:textId="77777777" w14:noSpellErr="1">
            <w:pPr>
              <w:jc w:val="left"/>
              <w:rPr>
                <w:b w:val="1"/>
                <w:bCs w:val="1"/>
              </w:rPr>
            </w:pPr>
            <w:r w:rsidRPr="1682CDDD" w:rsidR="1682CDDD">
              <w:rPr>
                <w:b w:val="1"/>
                <w:bCs w:val="1"/>
              </w:rPr>
              <w:t>Item</w:t>
            </w:r>
          </w:p>
        </w:tc>
        <w:tc>
          <w:tcPr>
            <w:tcW w:w="3117" w:type="dxa"/>
            <w:tcMar/>
          </w:tcPr>
          <w:p w:rsidRPr="00E35194" w:rsidR="005D70F1" w:rsidP="1682CDDD" w:rsidRDefault="005D70F1" w14:paraId="47D7F0FD" w14:textId="77777777" w14:noSpellErr="1">
            <w:pPr>
              <w:jc w:val="left"/>
              <w:rPr>
                <w:b w:val="1"/>
                <w:bCs w:val="1"/>
              </w:rPr>
            </w:pPr>
            <w:r w:rsidRPr="1682CDDD" w:rsidR="1682CDDD">
              <w:rPr>
                <w:b w:val="1"/>
                <w:bCs w:val="1"/>
              </w:rPr>
              <w:t>Description</w:t>
            </w:r>
          </w:p>
        </w:tc>
        <w:tc>
          <w:tcPr>
            <w:tcW w:w="3117" w:type="dxa"/>
            <w:tcMar/>
          </w:tcPr>
          <w:p w:rsidRPr="00E35194" w:rsidR="005D70F1" w:rsidP="1682CDDD" w:rsidRDefault="005D70F1" w14:paraId="4244FD44" w14:textId="77777777" w14:noSpellErr="1">
            <w:pPr>
              <w:jc w:val="left"/>
              <w:rPr>
                <w:b w:val="1"/>
                <w:bCs w:val="1"/>
              </w:rPr>
            </w:pPr>
            <w:r w:rsidRPr="1682CDDD" w:rsidR="1682CDDD">
              <w:rPr>
                <w:b w:val="1"/>
                <w:bCs w:val="1"/>
              </w:rPr>
              <w:t>Cost</w:t>
            </w:r>
          </w:p>
        </w:tc>
      </w:tr>
      <w:tr w:rsidRPr="00E35194" w:rsidR="005D70F1" w:rsidTr="1682CDDD" w14:paraId="316DCEE0" w14:textId="77777777">
        <w:tc>
          <w:tcPr>
            <w:tcW w:w="3116" w:type="dxa"/>
            <w:tcMar/>
          </w:tcPr>
          <w:p w:rsidRPr="00E35194" w:rsidR="005D70F1" w:rsidP="1682CDDD" w:rsidRDefault="001C769F" w14:paraId="171B36BE" w14:textId="5124BA43" w14:noSpellErr="1">
            <w:pPr>
              <w:jc w:val="left"/>
            </w:pPr>
            <w:r w:rsidR="1682CDDD">
              <w:rPr/>
              <w:t xml:space="preserve">Qiagen </w:t>
            </w:r>
            <w:r w:rsidR="1682CDDD">
              <w:rPr/>
              <w:t xml:space="preserve">HMW </w:t>
            </w:r>
            <w:r w:rsidR="1682CDDD">
              <w:rPr/>
              <w:t>DNA kit</w:t>
            </w:r>
          </w:p>
        </w:tc>
        <w:tc>
          <w:tcPr>
            <w:tcW w:w="3117" w:type="dxa"/>
            <w:tcMar/>
          </w:tcPr>
          <w:p w:rsidRPr="00E35194" w:rsidR="005D70F1" w:rsidP="1682CDDD" w:rsidRDefault="00181EA1" w14:paraId="0A0FC81B" w14:textId="6C8AE8BE" w14:noSpellErr="1">
            <w:pPr>
              <w:jc w:val="left"/>
            </w:pPr>
            <w:r w:rsidR="1682CDDD">
              <w:rPr/>
              <w:t>Extract</w:t>
            </w:r>
            <w:r w:rsidR="1682CDDD">
              <w:rPr/>
              <w:t xml:space="preserve"> DNA from </w:t>
            </w:r>
            <w:r w:rsidR="1682CDDD">
              <w:rPr/>
              <w:t>tissue</w:t>
            </w:r>
          </w:p>
        </w:tc>
        <w:tc>
          <w:tcPr>
            <w:tcW w:w="3117" w:type="dxa"/>
            <w:tcMar/>
          </w:tcPr>
          <w:p w:rsidRPr="00E35194" w:rsidR="005D70F1" w:rsidP="1682CDDD" w:rsidRDefault="007359AC" w14:paraId="1A7C6650" w14:textId="01748917" w14:noSpellErr="1">
            <w:pPr>
              <w:jc w:val="left"/>
            </w:pPr>
            <w:r w:rsidR="1682CDDD">
              <w:rPr/>
              <w:t>$</w:t>
            </w:r>
            <w:r w:rsidR="1682CDDD">
              <w:rPr/>
              <w:t>316</w:t>
            </w:r>
          </w:p>
        </w:tc>
      </w:tr>
      <w:tr w:rsidRPr="00E35194" w:rsidR="005D70F1" w:rsidTr="1682CDDD" w14:paraId="4DCDC9F4" w14:textId="77777777">
        <w:tc>
          <w:tcPr>
            <w:tcW w:w="3116" w:type="dxa"/>
            <w:tcMar/>
          </w:tcPr>
          <w:p w:rsidRPr="00E35194" w:rsidR="005D70F1" w:rsidP="1682CDDD" w:rsidRDefault="005D70F1" w14:paraId="5CA6299C" w14:noSpellErr="1" w14:textId="6BB88BCD">
            <w:pPr>
              <w:pStyle w:val="Normal"/>
              <w:jc w:val="left"/>
            </w:pPr>
            <w:r w:rsidR="1682CDDD">
              <w:rPr/>
              <w:t>La</w:t>
            </w:r>
            <w:r w:rsidR="1682CDDD">
              <w:rPr/>
              <w:t>b</w:t>
            </w:r>
            <w:r w:rsidR="1682CDDD">
              <w:rPr/>
              <w:t xml:space="preserve"> consumables</w:t>
            </w:r>
            <w:r w:rsidR="1682CDDD">
              <w:rPr/>
              <w:t xml:space="preserve"> (p</w:t>
            </w:r>
            <w:r w:rsidR="1682CDDD">
              <w:rPr/>
              <w:t>rice based on previous experienc</w:t>
            </w:r>
            <w:r w:rsidR="1682CDDD">
              <w:rPr/>
              <w:t>e)</w:t>
            </w:r>
          </w:p>
        </w:tc>
        <w:tc>
          <w:tcPr>
            <w:tcW w:w="3117" w:type="dxa"/>
            <w:tcMar/>
          </w:tcPr>
          <w:p w:rsidRPr="00E35194" w:rsidR="005D70F1" w:rsidP="1682CDDD" w:rsidRDefault="0018693A" w14:paraId="6D973563" w14:textId="023B301B">
            <w:pPr>
              <w:jc w:val="left"/>
            </w:pPr>
            <w:r w:rsidR="1682CDDD">
              <w:rPr/>
              <w:t>T</w:t>
            </w:r>
            <w:r w:rsidR="1682CDDD">
              <w:rPr/>
              <w:t xml:space="preserve">ips, tubes, </w:t>
            </w:r>
            <w:proofErr w:type="spellStart"/>
            <w:r w:rsidR="1682CDDD">
              <w:rPr/>
              <w:t>kimwipes</w:t>
            </w:r>
            <w:proofErr w:type="spellEnd"/>
            <w:r w:rsidR="1682CDDD">
              <w:rPr/>
              <w:t xml:space="preserve">, ethanol, agarose, </w:t>
            </w:r>
            <w:r w:rsidR="1682CDDD">
              <w:rPr/>
              <w:t>Qubit reagents</w:t>
            </w:r>
          </w:p>
        </w:tc>
        <w:tc>
          <w:tcPr>
            <w:tcW w:w="3117" w:type="dxa"/>
            <w:tcMar/>
          </w:tcPr>
          <w:p w:rsidRPr="00E35194" w:rsidR="005D70F1" w:rsidP="1682CDDD" w:rsidRDefault="007359AC" w14:paraId="5CE8107F" w14:textId="536473AE" w14:noSpellErr="1">
            <w:pPr>
              <w:jc w:val="left"/>
            </w:pPr>
            <w:r w:rsidR="1682CDDD">
              <w:rPr/>
              <w:t>$</w:t>
            </w:r>
            <w:r w:rsidR="1682CDDD">
              <w:rPr/>
              <w:t>150</w:t>
            </w:r>
          </w:p>
        </w:tc>
      </w:tr>
      <w:tr w:rsidRPr="00E35194" w:rsidR="001D05C8" w:rsidTr="1682CDDD" w14:paraId="0832D83B" w14:textId="77777777">
        <w:tc>
          <w:tcPr>
            <w:tcW w:w="3116" w:type="dxa"/>
            <w:tcMar/>
          </w:tcPr>
          <w:p w:rsidRPr="00E35194" w:rsidR="001D05C8" w:rsidDel="00343B4A" w:rsidP="1682CDDD" w:rsidRDefault="0018693A" w14:paraId="0E03D3B7" w14:textId="5116C238" w14:noSpellErr="1">
            <w:pPr>
              <w:jc w:val="left"/>
            </w:pPr>
            <w:r w:rsidR="1682CDDD">
              <w:rPr/>
              <w:t>Shipping and dry ice</w:t>
            </w:r>
          </w:p>
        </w:tc>
        <w:tc>
          <w:tcPr>
            <w:tcW w:w="3117" w:type="dxa"/>
            <w:tcMar/>
          </w:tcPr>
          <w:p w:rsidRPr="00E35194" w:rsidR="001D05C8" w:rsidP="1682CDDD" w:rsidRDefault="0018693A" w14:paraId="43DDD62B" w14:noSpellErr="1" w14:textId="6C41BE12">
            <w:pPr>
              <w:jc w:val="left"/>
            </w:pPr>
            <w:r w:rsidR="1682CDDD">
              <w:rPr/>
              <w:t>Shipping tissue samples</w:t>
            </w:r>
            <w:r w:rsidR="1682CDDD">
              <w:rPr/>
              <w:t xml:space="preserve"> </w:t>
            </w:r>
          </w:p>
        </w:tc>
        <w:tc>
          <w:tcPr>
            <w:tcW w:w="3117" w:type="dxa"/>
            <w:tcMar/>
          </w:tcPr>
          <w:p w:rsidRPr="00E35194" w:rsidR="001D05C8" w:rsidP="1682CDDD" w:rsidRDefault="00362AE8" w14:paraId="306E07ED" w14:textId="06CAD39E" w14:noSpellErr="1">
            <w:pPr>
              <w:jc w:val="left"/>
            </w:pPr>
            <w:r w:rsidR="1682CDDD">
              <w:rPr/>
              <w:t>$</w:t>
            </w:r>
            <w:r w:rsidR="1682CDDD">
              <w:rPr/>
              <w:t>50</w:t>
            </w:r>
          </w:p>
        </w:tc>
      </w:tr>
      <w:tr w:rsidRPr="00E35194" w:rsidR="005D70F1" w:rsidTr="1682CDDD" w14:paraId="4D0224F0" w14:textId="77777777">
        <w:tc>
          <w:tcPr>
            <w:tcW w:w="3116" w:type="dxa"/>
            <w:tcMar/>
          </w:tcPr>
          <w:p w:rsidRPr="00E35194" w:rsidR="005D70F1" w:rsidP="1682CDDD" w:rsidRDefault="005D70F1" w14:paraId="53835D67" w14:noSpellErr="1" w14:textId="087FCA78">
            <w:pPr>
              <w:jc w:val="left"/>
            </w:pPr>
            <w:r w:rsidR="1682CDDD">
              <w:rPr/>
              <w:t>Illumina</w:t>
            </w:r>
            <w:r w:rsidR="1682CDDD">
              <w:rPr/>
              <w:t xml:space="preserve"> </w:t>
            </w:r>
            <w:r w:rsidR="1682CDDD">
              <w:rPr/>
              <w:t>sequencing</w:t>
            </w:r>
            <w:r w:rsidR="1682CDDD">
              <w:rPr/>
              <w:t xml:space="preserve"> </w:t>
            </w:r>
            <w:r w:rsidR="1682CDDD">
              <w:rPr/>
              <w:t xml:space="preserve">low-coverage whole genome resequencing </w:t>
            </w:r>
            <w:r w:rsidR="1682CDDD">
              <w:rPr/>
              <w:t>(</w:t>
            </w:r>
            <w:r w:rsidR="1682CDDD">
              <w:rPr/>
              <w:t xml:space="preserve">academic </w:t>
            </w:r>
            <w:r w:rsidR="1682CDDD">
              <w:rPr/>
              <w:t>rate)</w:t>
            </w:r>
          </w:p>
        </w:tc>
        <w:tc>
          <w:tcPr>
            <w:tcW w:w="3117" w:type="dxa"/>
            <w:tcMar/>
          </w:tcPr>
          <w:p w:rsidRPr="00E35194" w:rsidR="005D70F1" w:rsidP="1682CDDD" w:rsidRDefault="007359AC" w14:paraId="71A30B49" w14:textId="77777777">
            <w:pPr>
              <w:jc w:val="left"/>
            </w:pPr>
            <w:r w:rsidR="1682CDDD">
              <w:rPr/>
              <w:t xml:space="preserve">Cost includes use of DNA probes, IDT </w:t>
            </w:r>
            <w:proofErr w:type="spellStart"/>
            <w:r w:rsidR="1682CDDD">
              <w:rPr/>
              <w:t>xGen</w:t>
            </w:r>
            <w:proofErr w:type="spellEnd"/>
            <w:r w:rsidR="1682CDDD">
              <w:rPr/>
              <w:t xml:space="preserve"> library preparation, and sequencing </w:t>
            </w:r>
          </w:p>
        </w:tc>
        <w:tc>
          <w:tcPr>
            <w:tcW w:w="3117" w:type="dxa"/>
            <w:tcMar/>
          </w:tcPr>
          <w:p w:rsidRPr="00E35194" w:rsidR="005D70F1" w:rsidP="1682CDDD" w:rsidRDefault="007359AC" w14:paraId="16F4EBAE" w14:textId="2C5D688A" w14:noSpellErr="1">
            <w:pPr>
              <w:jc w:val="left"/>
            </w:pPr>
            <w:r w:rsidR="1682CDDD">
              <w:rPr/>
              <w:t>$</w:t>
            </w:r>
            <w:r w:rsidR="1682CDDD">
              <w:rPr/>
              <w:t>290</w:t>
            </w:r>
            <w:r w:rsidR="1682CDDD">
              <w:rPr/>
              <w:t xml:space="preserve">/sample </w:t>
            </w:r>
            <w:r w:rsidR="1682CDDD">
              <w:rPr/>
              <w:t>x</w:t>
            </w:r>
            <w:r w:rsidR="1682CDDD">
              <w:rPr/>
              <w:t xml:space="preserve"> 1</w:t>
            </w:r>
            <w:r w:rsidR="1682CDDD">
              <w:rPr/>
              <w:t xml:space="preserve">2 </w:t>
            </w:r>
            <w:r w:rsidR="1682CDDD">
              <w:rPr/>
              <w:t>= $3</w:t>
            </w:r>
            <w:r w:rsidR="1682CDDD">
              <w:rPr/>
              <w:t>,</w:t>
            </w:r>
            <w:r w:rsidR="1682CDDD">
              <w:rPr/>
              <w:t>480</w:t>
            </w:r>
          </w:p>
        </w:tc>
      </w:tr>
      <w:tr w:rsidRPr="00E35194" w:rsidR="007359AC" w:rsidTr="1682CDDD" w14:paraId="27F679B2" w14:textId="77777777">
        <w:tc>
          <w:tcPr>
            <w:tcW w:w="3116" w:type="dxa"/>
            <w:tcMar/>
          </w:tcPr>
          <w:p w:rsidRPr="00E35194" w:rsidR="007359AC" w:rsidP="005D70F1" w:rsidRDefault="007359AC" w14:paraId="664FE3E7" w14:textId="77777777">
            <w:pPr>
              <w:jc w:val="center"/>
            </w:pPr>
          </w:p>
        </w:tc>
        <w:tc>
          <w:tcPr>
            <w:tcW w:w="3117" w:type="dxa"/>
            <w:tcMar/>
          </w:tcPr>
          <w:p w:rsidRPr="00E35194" w:rsidR="007359AC" w:rsidP="007359AC" w:rsidRDefault="007359AC" w14:paraId="21E6F128" w14:textId="77777777">
            <w:pPr>
              <w:jc w:val="right"/>
              <w:rPr>
                <w:b/>
              </w:rPr>
            </w:pPr>
            <w:r w:rsidRPr="00E35194">
              <w:rPr>
                <w:b/>
              </w:rPr>
              <w:t>Total</w:t>
            </w:r>
          </w:p>
        </w:tc>
        <w:tc>
          <w:tcPr>
            <w:tcW w:w="3117" w:type="dxa"/>
            <w:tcMar/>
          </w:tcPr>
          <w:p w:rsidRPr="00E35194" w:rsidR="007359AC" w:rsidP="1682CDDD" w:rsidRDefault="007359AC" w14:paraId="33BE5603" w14:textId="4E1590B6" w14:noSpellErr="1">
            <w:pPr>
              <w:jc w:val="left"/>
              <w:rPr>
                <w:b w:val="1"/>
                <w:bCs w:val="1"/>
              </w:rPr>
            </w:pPr>
            <w:r w:rsidRPr="1682CDDD" w:rsidR="1682CDDD">
              <w:rPr>
                <w:b w:val="1"/>
                <w:bCs w:val="1"/>
              </w:rPr>
              <w:t>$</w:t>
            </w:r>
            <w:r w:rsidRPr="1682CDDD" w:rsidR="1682CDDD">
              <w:rPr>
                <w:b w:val="1"/>
                <w:bCs w:val="1"/>
              </w:rPr>
              <w:t>3,996</w:t>
            </w:r>
          </w:p>
        </w:tc>
      </w:tr>
    </w:tbl>
    <w:p w:rsidR="1682CDDD" w:rsidP="1682CDDD" w:rsidRDefault="1682CDDD" w14:noSpellErr="1" w14:paraId="5B3B0811" w14:textId="3BC11092">
      <w:pPr>
        <w:spacing w:after="0" w:line="240" w:lineRule="auto"/>
        <w:rPr>
          <w:u w:val="single"/>
        </w:rPr>
      </w:pPr>
    </w:p>
    <w:p w:rsidRPr="00E35194" w:rsidR="004E6799" w:rsidP="00E35194" w:rsidRDefault="004E6799" w14:paraId="27C354B8" w14:textId="71EFBD3A">
      <w:pPr>
        <w:spacing w:after="0" w:line="240" w:lineRule="auto"/>
        <w:rPr>
          <w:u w:val="single"/>
        </w:rPr>
      </w:pPr>
      <w:r w:rsidRPr="1682CDDD" w:rsidR="1682CDDD">
        <w:rPr>
          <w:u w:val="single"/>
        </w:rPr>
        <w:t>References</w:t>
      </w:r>
    </w:p>
    <w:p w:rsidRPr="00E35194" w:rsidR="00E35194" w:rsidP="1682CDDD" w:rsidRDefault="00E35194" w14:paraId="3518AC74" w14:textId="4410CD73">
      <w:pPr>
        <w:pStyle w:val="Default"/>
        <w:bidi w:val="0"/>
        <w:spacing w:before="0" w:beforeAutospacing="off" w:after="0" w:afterAutospacing="off" w:line="240" w:lineRule="auto"/>
        <w:ind w:left="720" w:right="0" w:hanging="720"/>
        <w:jc w:val="left"/>
        <w:rPr>
          <w:rFonts w:ascii="Times New Roman" w:hAnsi="Times New Roman" w:cs="Times New Roman"/>
          <w:noProof w:val="0"/>
          <w:lang w:val="en-US"/>
        </w:rPr>
      </w:pPr>
      <w:proofErr w:type="spellStart"/>
      <w:r w:rsidRPr="1682CDDD" w:rsidR="1682CDDD">
        <w:rPr>
          <w:rFonts w:ascii="Times New Roman" w:hAnsi="Times New Roman" w:cs="Times New Roman"/>
          <w:noProof w:val="0"/>
          <w:lang w:val="en-US"/>
        </w:rPr>
        <w:t>Gompper</w:t>
      </w:r>
      <w:proofErr w:type="spellEnd"/>
      <w:r w:rsidRPr="1682CDDD" w:rsidR="1682CDDD">
        <w:rPr>
          <w:rFonts w:ascii="Times New Roman" w:hAnsi="Times New Roman" w:cs="Times New Roman"/>
          <w:noProof w:val="0"/>
          <w:lang w:val="en-US"/>
        </w:rPr>
        <w:t xml:space="preserve"> ME, Kays RW, Ray JC, Lapoint SD, </w:t>
      </w:r>
      <w:proofErr w:type="spellStart"/>
      <w:r w:rsidRPr="1682CDDD" w:rsidR="1682CDDD">
        <w:rPr>
          <w:rFonts w:ascii="Times New Roman" w:hAnsi="Times New Roman" w:cs="Times New Roman"/>
          <w:noProof w:val="0"/>
          <w:lang w:val="en-US"/>
        </w:rPr>
        <w:t>Bogan</w:t>
      </w:r>
      <w:proofErr w:type="spellEnd"/>
      <w:r w:rsidRPr="1682CDDD" w:rsidR="1682CDDD">
        <w:rPr>
          <w:rFonts w:ascii="Times New Roman" w:hAnsi="Times New Roman" w:cs="Times New Roman"/>
          <w:noProof w:val="0"/>
          <w:lang w:val="en-US"/>
        </w:rPr>
        <w:t xml:space="preserve"> DA, Cryan JR. A comparison of noninvasive techniques to survey carnivore communities in northeastern North America. Wildlife Society Bulletin. 2006 Nov;34(4):1142-51. </w:t>
      </w:r>
      <w:proofErr w:type="spellStart"/>
      <w:r w:rsidRPr="1682CDDD" w:rsidR="1682CDDD">
        <w:rPr>
          <w:rFonts w:ascii="Times New Roman" w:hAnsi="Times New Roman" w:cs="Times New Roman"/>
          <w:noProof w:val="0"/>
          <w:lang w:val="en-US"/>
        </w:rPr>
        <w:t>GigaScience</w:t>
      </w:r>
      <w:proofErr w:type="spellEnd"/>
      <w:r w:rsidRPr="1682CDDD" w:rsidR="1682CDDD">
        <w:rPr>
          <w:rFonts w:ascii="Times New Roman" w:hAnsi="Times New Roman" w:cs="Times New Roman"/>
          <w:noProof w:val="0"/>
          <w:lang w:val="en-US"/>
        </w:rPr>
        <w:t xml:space="preserve"> 2:17</w:t>
      </w:r>
      <w:r w:rsidRPr="1682CDDD" w:rsidR="1682CDDD">
        <w:rPr>
          <w:rFonts w:ascii="Times New Roman" w:hAnsi="Times New Roman" w:cs="Times New Roman"/>
          <w:noProof w:val="0"/>
          <w:lang w:val="en-US"/>
        </w:rPr>
        <w:t xml:space="preserve"> </w:t>
      </w:r>
    </w:p>
    <w:p w:rsidRPr="00E35194" w:rsidR="00E35194" w:rsidP="1682CDDD" w:rsidRDefault="00E35194" w14:paraId="218B1520" w14:textId="10AC4D6D">
      <w:pPr>
        <w:pStyle w:val="Default"/>
        <w:bidi w:val="0"/>
        <w:spacing w:before="0" w:beforeAutospacing="off" w:after="0" w:afterAutospacing="off" w:line="240" w:lineRule="auto"/>
        <w:ind w:left="720" w:right="0" w:hanging="720"/>
        <w:jc w:val="left"/>
        <w:rPr>
          <w:rFonts w:ascii="Times New Roman" w:hAnsi="Times New Roman" w:cs="Times New Roman"/>
          <w:noProof w:val="0"/>
          <w:lang w:val="en-US"/>
        </w:rPr>
      </w:pPr>
      <w:proofErr w:type="spellStart"/>
      <w:r w:rsidRPr="1682CDDD" w:rsidR="1682CDDD">
        <w:rPr>
          <w:rFonts w:ascii="Times New Roman" w:hAnsi="Times New Roman" w:cs="Times New Roman"/>
          <w:noProof w:val="0"/>
          <w:lang w:val="en-US"/>
        </w:rPr>
        <w:t>Koepfli</w:t>
      </w:r>
      <w:proofErr w:type="spellEnd"/>
      <w:r w:rsidRPr="1682CDDD" w:rsidR="1682CDDD">
        <w:rPr>
          <w:rFonts w:ascii="Times New Roman" w:hAnsi="Times New Roman" w:cs="Times New Roman"/>
          <w:noProof w:val="0"/>
          <w:lang w:val="en-US"/>
        </w:rPr>
        <w:t xml:space="preserve"> KP, Paten B, Genome 10K Community of Scientists, O’Brien SJ. The Genome 10K Project: a way forward</w:t>
      </w:r>
      <w:r w:rsidRPr="1682CDDD" w:rsidR="1682CDDD">
        <w:rPr>
          <w:rFonts w:ascii="Times New Roman" w:hAnsi="Times New Roman" w:cs="Times New Roman"/>
          <w:noProof w:val="0"/>
          <w:lang w:val="en-US"/>
        </w:rPr>
        <w:t xml:space="preserve">. Annu. Rev. Anim. </w:t>
      </w:r>
      <w:proofErr w:type="spellStart"/>
      <w:r w:rsidRPr="1682CDDD" w:rsidR="1682CDDD">
        <w:rPr>
          <w:rFonts w:ascii="Times New Roman" w:hAnsi="Times New Roman" w:cs="Times New Roman"/>
          <w:noProof w:val="0"/>
          <w:lang w:val="en-US"/>
        </w:rPr>
        <w:t>Biosci</w:t>
      </w:r>
      <w:proofErr w:type="spellEnd"/>
      <w:r w:rsidRPr="1682CDDD" w:rsidR="1682CDDD">
        <w:rPr>
          <w:rFonts w:ascii="Times New Roman" w:hAnsi="Times New Roman" w:cs="Times New Roman"/>
          <w:noProof w:val="0"/>
          <w:lang w:val="en-US"/>
        </w:rPr>
        <w:t>.</w:t>
      </w:r>
      <w:r w:rsidRPr="1682CDDD" w:rsidR="1682CDDD">
        <w:rPr>
          <w:rFonts w:ascii="Times New Roman" w:hAnsi="Times New Roman" w:cs="Times New Roman"/>
          <w:noProof w:val="0"/>
          <w:lang w:val="en-US"/>
        </w:rPr>
        <w:t xml:space="preserve"> </w:t>
      </w:r>
      <w:r w:rsidRPr="1682CDDD" w:rsidR="1682CDDD">
        <w:rPr>
          <w:rFonts w:ascii="Times New Roman" w:hAnsi="Times New Roman" w:cs="Times New Roman"/>
          <w:noProof w:val="0"/>
          <w:lang w:val="en-US"/>
        </w:rPr>
        <w:t xml:space="preserve">2015 Feb 16;3(1):57-111. </w:t>
      </w:r>
    </w:p>
    <w:p w:rsidRPr="00E35194" w:rsidR="00E35194" w:rsidP="1682CDDD" w:rsidRDefault="00E35194" w14:paraId="25AD4E51" w14:textId="541B2D30">
      <w:pPr>
        <w:pStyle w:val="Default"/>
        <w:ind w:left="720" w:hanging="720"/>
        <w:rPr>
          <w:rFonts w:ascii="Times New Roman" w:hAnsi="Times New Roman" w:cs="Times New Roman"/>
        </w:rPr>
      </w:pPr>
      <w:r w:rsidRPr="1682CDDD" w:rsidR="1682CDDD">
        <w:rPr>
          <w:rFonts w:ascii="Times New Roman" w:hAnsi="Times New Roman" w:cs="Times New Roman"/>
        </w:rPr>
        <w:t>Miller W, Schuster SC, Welch AJ, Ratan A, Bedoya-Reina OC, Zhao F, Kim HL, Burhans RC, Drautz DI, Wittekindt NE, Tomsho LP. Polar and brown bear genomes reveal ancient admixture and demographic footprints of past climate change. Proceedings of the National Academy of Sciences. 2012 Sep 4;109(36):E2382-90.</w:t>
      </w:r>
    </w:p>
    <w:p w:rsidRPr="00E35194" w:rsidR="00E35194" w:rsidP="008624FA" w:rsidRDefault="00E35194" w14:paraId="308ED14F" w14:textId="04A24448">
      <w:pPr>
        <w:pStyle w:val="Default"/>
        <w:ind w:left="720" w:hanging="720"/>
        <w:rPr>
          <w:rFonts w:ascii="Times New Roman" w:hAnsi="Times New Roman" w:cs="Times New Roman"/>
        </w:rPr>
      </w:pPr>
      <w:r w:rsidRPr="00E35194">
        <w:rPr>
          <w:rFonts w:ascii="Times New Roman" w:hAnsi="Times New Roman" w:cs="Times New Roman"/>
        </w:rPr>
        <w:t xml:space="preserve">Reed DH. Relationship between population size and fitness. Conservation biology. 2005 Apr 1;19(2):563-8. </w:t>
      </w:r>
    </w:p>
    <w:p w:rsidRPr="008624FA" w:rsidR="002C61FB" w:rsidP="008624FA" w:rsidRDefault="00766B9E" w14:paraId="0AC01D3F" w14:textId="7D383CA4" w14:noSpellErr="1">
      <w:pPr>
        <w:spacing w:after="0" w:line="240" w:lineRule="auto"/>
        <w:ind w:left="720" w:hanging="720"/>
      </w:pPr>
      <w:r w:rsidR="1682CDDD">
        <w:rPr/>
        <w:t>U.S. Fish and Wildlife Service. 2017. Species Status Assessment for the Canada lynx (Lynx canadensis) Contiguous United States Distinct Population Segment. Version 1.0</w:t>
      </w:r>
      <w:r w:rsidR="1682CDDD">
        <w:rPr/>
        <w:t>.</w:t>
      </w:r>
    </w:p>
    <w:p w:rsidR="1682CDDD" w:rsidP="1682CDDD" w:rsidRDefault="1682CDDD" w14:paraId="2B11670F" w14:textId="6540E378">
      <w:pPr>
        <w:rPr>
          <w:rFonts w:ascii="Times New Roman" w:hAnsi="Times New Roman" w:eastAsia="Times New Roman" w:cs="Times New Roman"/>
          <w:noProof w:val="0"/>
          <w:sz w:val="24"/>
          <w:szCs w:val="24"/>
          <w:lang w:val="en-US"/>
        </w:rPr>
      </w:pPr>
      <w:r>
        <w:br/>
      </w:r>
    </w:p>
    <w:sectPr w:rsidRPr="008624FA" w:rsidR="002C61FB">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FD82D" w16cid:durableId="1E15DCEE"/>
  <w16cid:commentId w16cid:paraId="2E3BC57F" w16cid:durableId="1E15DE08"/>
  <w16cid:commentId w16cid:paraId="13DEB6C0" w16cid:durableId="1E15E6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88B" w:rsidP="00BD4E85" w:rsidRDefault="0006288B" w14:paraId="379FC752" w14:textId="77777777">
      <w:pPr>
        <w:spacing w:after="0" w:line="240" w:lineRule="auto"/>
      </w:pPr>
      <w:r>
        <w:separator/>
      </w:r>
    </w:p>
  </w:endnote>
  <w:endnote w:type="continuationSeparator" w:id="0">
    <w:p w:rsidR="0006288B" w:rsidP="00BD4E85" w:rsidRDefault="0006288B" w14:paraId="4ABFBDA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88B" w:rsidP="00BD4E85" w:rsidRDefault="0006288B" w14:paraId="1D001E9E" w14:textId="77777777">
      <w:pPr>
        <w:spacing w:after="0" w:line="240" w:lineRule="auto"/>
      </w:pPr>
      <w:r>
        <w:separator/>
      </w:r>
    </w:p>
  </w:footnote>
  <w:footnote w:type="continuationSeparator" w:id="0">
    <w:p w:rsidR="0006288B" w:rsidP="00BD4E85" w:rsidRDefault="0006288B" w14:paraId="1C4A20E2" w14:textId="77777777">
      <w:pPr>
        <w:spacing w:after="0" w:line="240" w:lineRule="auto"/>
      </w:pPr>
      <w:r>
        <w:continuationSeparator/>
      </w:r>
    </w:p>
  </w:footnote>
</w:footnotes>
</file>

<file path=word/people.xml><?xml version="1.0" encoding="utf-8"?>
<w15:people xmlns:mc="http://schemas.openxmlformats.org/markup-compatibility/2006" xmlns:w15="http://schemas.microsoft.com/office/word/2012/wordml" mc:Ignorable="w15">
  <w15:person w15:author="Tanya LAMA">
    <w15:presenceInfo w15:providerId="Windows Live" w15:userId="69cd3093689f7761"/>
  </w15:person>
  <w15:person w15:author="Tanya Lama">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0A"/>
    <w:rsid w:val="00043A0F"/>
    <w:rsid w:val="0006288B"/>
    <w:rsid w:val="00062986"/>
    <w:rsid w:val="00073BDE"/>
    <w:rsid w:val="00083D40"/>
    <w:rsid w:val="00083E7C"/>
    <w:rsid w:val="00090D32"/>
    <w:rsid w:val="000A3A42"/>
    <w:rsid w:val="00153F33"/>
    <w:rsid w:val="001613E7"/>
    <w:rsid w:val="00163E65"/>
    <w:rsid w:val="00175980"/>
    <w:rsid w:val="00177E90"/>
    <w:rsid w:val="00181EA1"/>
    <w:rsid w:val="00185685"/>
    <w:rsid w:val="0018693A"/>
    <w:rsid w:val="001B50F4"/>
    <w:rsid w:val="001C769F"/>
    <w:rsid w:val="001D05C8"/>
    <w:rsid w:val="001D5E50"/>
    <w:rsid w:val="001E2681"/>
    <w:rsid w:val="002133DC"/>
    <w:rsid w:val="00220114"/>
    <w:rsid w:val="0022218A"/>
    <w:rsid w:val="00230C1B"/>
    <w:rsid w:val="00291101"/>
    <w:rsid w:val="002B56CC"/>
    <w:rsid w:val="002C4B97"/>
    <w:rsid w:val="002C61FB"/>
    <w:rsid w:val="003274D6"/>
    <w:rsid w:val="00343B4A"/>
    <w:rsid w:val="00360A43"/>
    <w:rsid w:val="00362AE8"/>
    <w:rsid w:val="00390DFF"/>
    <w:rsid w:val="003B7B91"/>
    <w:rsid w:val="003D1AFE"/>
    <w:rsid w:val="003E7B3F"/>
    <w:rsid w:val="003F776E"/>
    <w:rsid w:val="00413363"/>
    <w:rsid w:val="00450A7D"/>
    <w:rsid w:val="0045331B"/>
    <w:rsid w:val="00460E4D"/>
    <w:rsid w:val="004812FC"/>
    <w:rsid w:val="004843EF"/>
    <w:rsid w:val="004871A3"/>
    <w:rsid w:val="004E6799"/>
    <w:rsid w:val="004F10F5"/>
    <w:rsid w:val="00525FA4"/>
    <w:rsid w:val="005321C3"/>
    <w:rsid w:val="00541F71"/>
    <w:rsid w:val="00575223"/>
    <w:rsid w:val="00577779"/>
    <w:rsid w:val="005B60D5"/>
    <w:rsid w:val="005D70F1"/>
    <w:rsid w:val="005D7374"/>
    <w:rsid w:val="005F27A7"/>
    <w:rsid w:val="00622BA7"/>
    <w:rsid w:val="00631FE8"/>
    <w:rsid w:val="006450A3"/>
    <w:rsid w:val="00685534"/>
    <w:rsid w:val="00687311"/>
    <w:rsid w:val="007359AC"/>
    <w:rsid w:val="0074720A"/>
    <w:rsid w:val="00762AC9"/>
    <w:rsid w:val="00766B9E"/>
    <w:rsid w:val="0077218F"/>
    <w:rsid w:val="007760C8"/>
    <w:rsid w:val="00797FA6"/>
    <w:rsid w:val="007B6A45"/>
    <w:rsid w:val="007F1E66"/>
    <w:rsid w:val="008624FA"/>
    <w:rsid w:val="00890C01"/>
    <w:rsid w:val="0089145E"/>
    <w:rsid w:val="008A4593"/>
    <w:rsid w:val="008D6651"/>
    <w:rsid w:val="009107DA"/>
    <w:rsid w:val="00951BE2"/>
    <w:rsid w:val="00967797"/>
    <w:rsid w:val="009821D3"/>
    <w:rsid w:val="0098688A"/>
    <w:rsid w:val="009A6EE3"/>
    <w:rsid w:val="009B4B5B"/>
    <w:rsid w:val="009B7F52"/>
    <w:rsid w:val="009D56DD"/>
    <w:rsid w:val="009F5954"/>
    <w:rsid w:val="00A35838"/>
    <w:rsid w:val="00A407D1"/>
    <w:rsid w:val="00A4196A"/>
    <w:rsid w:val="00AC4DC1"/>
    <w:rsid w:val="00AD2ADB"/>
    <w:rsid w:val="00AD5BB8"/>
    <w:rsid w:val="00AE742B"/>
    <w:rsid w:val="00B1526B"/>
    <w:rsid w:val="00B419BD"/>
    <w:rsid w:val="00B643FA"/>
    <w:rsid w:val="00B90F5C"/>
    <w:rsid w:val="00BD4E85"/>
    <w:rsid w:val="00BE53A0"/>
    <w:rsid w:val="00C409AB"/>
    <w:rsid w:val="00C5584C"/>
    <w:rsid w:val="00C908F9"/>
    <w:rsid w:val="00C9641E"/>
    <w:rsid w:val="00CE5B64"/>
    <w:rsid w:val="00CF43A6"/>
    <w:rsid w:val="00CF6CD9"/>
    <w:rsid w:val="00D176FF"/>
    <w:rsid w:val="00D265A0"/>
    <w:rsid w:val="00D75B8A"/>
    <w:rsid w:val="00D8638C"/>
    <w:rsid w:val="00D90A7B"/>
    <w:rsid w:val="00E35194"/>
    <w:rsid w:val="00E76D02"/>
    <w:rsid w:val="00EB093F"/>
    <w:rsid w:val="00F27162"/>
    <w:rsid w:val="00FA54B8"/>
    <w:rsid w:val="00FB67D5"/>
    <w:rsid w:val="1682C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CC4D31"/>
  <w15:docId w15:val="{63650CCD-9281-437B-9B28-DC200827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cs="Times New Roman" w:eastAsiaTheme="min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D70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7359AC"/>
    <w:rPr>
      <w:color w:val="0563C1" w:themeColor="hyperlink"/>
      <w:u w:val="single"/>
    </w:rPr>
  </w:style>
  <w:style w:type="character" w:styleId="Mention1" w:customStyle="1">
    <w:name w:val="Mention1"/>
    <w:basedOn w:val="DefaultParagraphFont"/>
    <w:uiPriority w:val="99"/>
    <w:semiHidden/>
    <w:unhideWhenUsed/>
    <w:rsid w:val="007359AC"/>
    <w:rPr>
      <w:color w:val="2B579A"/>
      <w:shd w:val="clear" w:color="auto" w:fill="E6E6E6"/>
    </w:rPr>
  </w:style>
  <w:style w:type="character" w:styleId="CommentReference">
    <w:name w:val="annotation reference"/>
    <w:basedOn w:val="DefaultParagraphFont"/>
    <w:uiPriority w:val="99"/>
    <w:semiHidden/>
    <w:unhideWhenUsed/>
    <w:rsid w:val="001613E7"/>
    <w:rPr>
      <w:sz w:val="16"/>
      <w:szCs w:val="16"/>
    </w:rPr>
  </w:style>
  <w:style w:type="paragraph" w:styleId="CommentText">
    <w:name w:val="annotation text"/>
    <w:basedOn w:val="Normal"/>
    <w:link w:val="CommentTextChar"/>
    <w:uiPriority w:val="99"/>
    <w:semiHidden/>
    <w:unhideWhenUsed/>
    <w:rsid w:val="001613E7"/>
    <w:pPr>
      <w:spacing w:line="240" w:lineRule="auto"/>
    </w:pPr>
    <w:rPr>
      <w:sz w:val="20"/>
      <w:szCs w:val="20"/>
    </w:rPr>
  </w:style>
  <w:style w:type="character" w:styleId="CommentTextChar" w:customStyle="1">
    <w:name w:val="Comment Text Char"/>
    <w:basedOn w:val="DefaultParagraphFont"/>
    <w:link w:val="CommentText"/>
    <w:uiPriority w:val="99"/>
    <w:semiHidden/>
    <w:rsid w:val="001613E7"/>
    <w:rPr>
      <w:sz w:val="20"/>
      <w:szCs w:val="20"/>
    </w:rPr>
  </w:style>
  <w:style w:type="paragraph" w:styleId="CommentSubject">
    <w:name w:val="annotation subject"/>
    <w:basedOn w:val="CommentText"/>
    <w:next w:val="CommentText"/>
    <w:link w:val="CommentSubjectChar"/>
    <w:uiPriority w:val="99"/>
    <w:semiHidden/>
    <w:unhideWhenUsed/>
    <w:rsid w:val="001613E7"/>
    <w:rPr>
      <w:b/>
      <w:bCs/>
    </w:rPr>
  </w:style>
  <w:style w:type="character" w:styleId="CommentSubjectChar" w:customStyle="1">
    <w:name w:val="Comment Subject Char"/>
    <w:basedOn w:val="CommentTextChar"/>
    <w:link w:val="CommentSubject"/>
    <w:uiPriority w:val="99"/>
    <w:semiHidden/>
    <w:rsid w:val="001613E7"/>
    <w:rPr>
      <w:b/>
      <w:bCs/>
      <w:sz w:val="20"/>
      <w:szCs w:val="20"/>
    </w:rPr>
  </w:style>
  <w:style w:type="paragraph" w:styleId="BalloonText">
    <w:name w:val="Balloon Text"/>
    <w:basedOn w:val="Normal"/>
    <w:link w:val="BalloonTextChar"/>
    <w:uiPriority w:val="99"/>
    <w:semiHidden/>
    <w:unhideWhenUsed/>
    <w:rsid w:val="001613E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613E7"/>
    <w:rPr>
      <w:rFonts w:ascii="Segoe UI" w:hAnsi="Segoe UI" w:cs="Segoe UI"/>
      <w:sz w:val="18"/>
      <w:szCs w:val="18"/>
    </w:rPr>
  </w:style>
  <w:style w:type="paragraph" w:styleId="NormalWeb">
    <w:name w:val="Normal (Web)"/>
    <w:basedOn w:val="Normal"/>
    <w:uiPriority w:val="99"/>
    <w:unhideWhenUsed/>
    <w:rsid w:val="00043A0F"/>
    <w:pPr>
      <w:spacing w:before="100" w:beforeAutospacing="1" w:after="100" w:afterAutospacing="1" w:line="240" w:lineRule="auto"/>
    </w:pPr>
    <w:rPr>
      <w:rFonts w:eastAsia="Times New Roman"/>
      <w:b/>
    </w:rPr>
  </w:style>
  <w:style w:type="character" w:styleId="UnresolvedMention1" w:customStyle="1">
    <w:name w:val="Unresolved Mention1"/>
    <w:basedOn w:val="DefaultParagraphFont"/>
    <w:uiPriority w:val="99"/>
    <w:semiHidden/>
    <w:unhideWhenUsed/>
    <w:rsid w:val="00766B9E"/>
    <w:rPr>
      <w:color w:val="808080"/>
      <w:shd w:val="clear" w:color="auto" w:fill="E6E6E6"/>
    </w:rPr>
  </w:style>
  <w:style w:type="character" w:styleId="Emphasis">
    <w:name w:val="Emphasis"/>
    <w:basedOn w:val="DefaultParagraphFont"/>
    <w:uiPriority w:val="20"/>
    <w:qFormat/>
    <w:rsid w:val="00062986"/>
    <w:rPr>
      <w:i/>
      <w:iCs/>
    </w:rPr>
  </w:style>
  <w:style w:type="paragraph" w:styleId="Header">
    <w:name w:val="header"/>
    <w:basedOn w:val="Normal"/>
    <w:link w:val="HeaderChar"/>
    <w:uiPriority w:val="99"/>
    <w:unhideWhenUsed/>
    <w:rsid w:val="00BD4E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D4E85"/>
  </w:style>
  <w:style w:type="paragraph" w:styleId="Footer">
    <w:name w:val="footer"/>
    <w:basedOn w:val="Normal"/>
    <w:link w:val="FooterChar"/>
    <w:uiPriority w:val="99"/>
    <w:unhideWhenUsed/>
    <w:rsid w:val="00BD4E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D4E85"/>
  </w:style>
  <w:style w:type="paragraph" w:styleId="Default" w:customStyle="1">
    <w:name w:val="Default"/>
    <w:rsid w:val="00E35194"/>
    <w:pPr>
      <w:autoSpaceDE w:val="0"/>
      <w:autoSpaceDN w:val="0"/>
      <w:adjustRightInd w:val="0"/>
      <w:spacing w:after="0" w:line="240" w:lineRule="auto"/>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9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webSettings" Target="webSettings.xml" Id="rId3"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microsoft.com/office/2011/relationships/people" Target="people.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microsoft.com/office/2016/09/relationships/commentsIds" Target="commentsIds.xml" Id="rId9" /><Relationship Type="http://schemas.openxmlformats.org/officeDocument/2006/relationships/hyperlink" Target="mailto:tlama@eco.umass.edu" TargetMode="External" Id="R5dbee32008b947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U.S. Geological Survey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Andrew Zamora</dc:creator>
  <lastModifiedBy>Tanya Lama</lastModifiedBy>
  <revision>4</revision>
  <dcterms:created xsi:type="dcterms:W3CDTF">2018-01-29T17:50:00.0000000Z</dcterms:created>
  <dcterms:modified xsi:type="dcterms:W3CDTF">2018-03-01T20:44:37.5198022Z</dcterms:modified>
</coreProperties>
</file>