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Acceptable Use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MFA required for all system access where available</w:t>
      </w:r>
    </w:p>
    <w:p>
      <w:pPr>
        <w:pStyle w:val="ListParagraph"/>
        <w:numPr>
          <w:ilvl w:val="0"/>
          <w:numId w:val="2"/>
        </w:numPr>
        <w:spacing w:before="40" w:after="40"/>
      </w:pPr>
      <w:commentRangeStart w:id="1"/>
      <w:r>
        <w:rPr>
          <w:rFonts w:ascii="Arial" w:cs="Arial" w:eastAsia="Arial" w:hAnsi="Arial"/>
          <w:sz w:val="22"/>
          <w:szCs w:val="22"/>
        </w:rPr>
        <w:t xml:space="preserve">All shared account credentials must be stored in approved password manager</w:t>
      </w:r>
      <w:commentRangeEnd w:id="1"/>
      <w:r>
        <w:rPr>
          <w:rStyle w:val="CommentReference"/>
        </w:rPr>
        <w:commentReference w:id="1"/>
      </w:r>
    </w:p>
    <w:p>
      <w:pPr>
        <w:pStyle w:val="ListParagraph"/>
        <w:numPr>
          <w:ilvl w:val="0"/>
          <w:numId w:val="2"/>
        </w:numPr>
        <w:spacing w:before="40" w:after="40"/>
      </w:pPr>
      <w:commentRangeStart w:id="3"/>
      <w:r>
        <w:rPr>
          <w:rFonts w:ascii="Arial" w:cs="Arial" w:eastAsia="Arial" w:hAnsi="Arial"/>
          <w:sz w:val="22"/>
          <w:szCs w:val="22"/>
        </w:rPr>
        <w:t xml:space="preserve">Security incidents must be reported immediately</w:t>
      </w:r>
      <w:commentRangeEnd w:id="3"/>
      <w:r>
        <w:rPr>
          <w:rStyle w:val="CommentReference"/>
        </w:rPr>
        <w:commentReference w:id="3"/>
      </w:r>
    </w:p>
    <w:p>
      <w:pPr>
        <w:pStyle w:val="ListParagraph"/>
        <w:numPr>
          <w:ilvl w:val="0"/>
          <w:numId w:val="2"/>
        </w:numPr>
        <w:spacing w:before="40" w:after="40"/>
      </w:pPr>
      <w:r>
        <w:rPr>
          <w:rFonts w:ascii="Arial" w:cs="Arial" w:eastAsia="Arial" w:hAnsi="Arial"/>
          <w:sz w:val="22"/>
          <w:szCs w:val="22"/>
        </w:rPr>
        <w:t xml:space="preserve">No expectation of privacy on PolicyLift systems</w:t>
      </w:r>
    </w:p>
    <w:p>
      <w:pPr>
        <w:pStyle w:val="ListParagraph"/>
        <w:numPr>
          <w:ilvl w:val="0"/>
          <w:numId w:val="2"/>
        </w:numPr>
        <w:spacing w:before="40" w:after="40"/>
      </w:pPr>
      <w:r>
        <w:rPr>
          <w:rFonts w:ascii="Arial" w:cs="Arial" w:eastAsia="Arial" w:hAnsi="Arial"/>
          <w:sz w:val="22"/>
          <w:szCs w:val="22"/>
        </w:rPr>
        <w:t xml:space="preserve">IT approval required for all software installations</w:t>
      </w:r>
    </w:p>
    <w:p>
      <w:pPr>
        <w:pStyle w:val="ListParagraph"/>
        <w:numPr>
          <w:ilvl w:val="0"/>
          <w:numId w:val="2"/>
        </w:numPr>
        <w:spacing w:before="40" w:after="40"/>
      </w:pPr>
      <w:r>
        <w:rPr>
          <w:rFonts w:ascii="Arial" w:cs="Arial" w:eastAsia="Arial" w:hAnsi="Arial"/>
          <w:sz w:val="22"/>
          <w:szCs w:val="22"/>
        </w:rPr>
        <w:t xml:space="preserve">Comprehensive audit logs must be maintained</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Security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with external support (Delve annual pen testing)</w:t>
            </w:r>
          </w:p>
        </w:tc>
      </w:tr>
    </w:tbl>
    <w:p>
      <w:r>
        <w:br w:type="page"/>
      </w:r>
    </w:p>
    <w:p>
      <w:pPr>
        <w:pStyle w:val="Heading1"/>
        <w:spacing w:before="0" w:after="200"/>
      </w:pPr>
      <w:r>
        <w:rPr>
          <w:rFonts w:ascii="Arial" w:cs="Arial" w:eastAsia="Arial" w:hAnsi="Arial"/>
          <w:b/>
          <w:bCs/>
          <w:sz w:val="32"/>
          <w:szCs w:val="32"/>
        </w:rPr>
        <w:t xml:space="preserve">Acceptable Use Policy</w:t>
      </w:r>
    </w:p>
    <w:p>
      <w:pPr>
        <w:pStyle w:val="Heading2"/>
        <w:spacing w:before="200" w:after="100"/>
      </w:pPr>
      <w:r>
        <w:rPr>
          <w:rFonts w:ascii="Arial" w:cs="Arial" w:eastAsia="Arial" w:hAnsi="Arial"/>
          <w:b/>
          <w:bCs/>
          <w:sz w:val="24"/>
          <w:szCs w:val="24"/>
        </w:rPr>
        <w:t xml:space="preserve">Purpose and Scope</w:t>
      </w:r>
    </w:p>
    <w:p>
      <w:pPr>
        <w:spacing w:before="60" w:after="60"/>
      </w:pPr>
    </w:p>
    <w:p>
      <w:pPr>
        <w:spacing w:before="60" w:after="60"/>
      </w:pPr>
      <w:r>
        <w:rPr>
          <w:rFonts w:ascii="Arial" w:cs="Arial" w:eastAsia="Arial" w:hAnsi="Arial"/>
          <w:sz w:val="22"/>
          <w:szCs w:val="22"/>
        </w:rPr>
        <w:t xml:space="preserve">This Acceptable Use Policy (AUP) provides clear guidelines for the appropriate use of [Legal Name]'s (hereinafter referred to as "PolicyLift") information technology resources, systems, and data. This policy aims to protect these resources from misuse, safeguard sensitive information, and ensure compliance with applicable legal, regulatory, and contractual obligations.</w:t>
      </w:r>
    </w:p>
    <w:p>
      <w:pPr>
        <w:spacing w:before="60" w:after="60"/>
      </w:pPr>
    </w:p>
    <w:p>
      <w:pPr>
        <w:spacing w:before="60" w:after="60"/>
      </w:pPr>
      <w:r>
        <w:rPr>
          <w:rFonts w:ascii="Arial" w:cs="Arial" w:eastAsia="Arial" w:hAnsi="Arial"/>
          <w:sz w:val="22"/>
          <w:szCs w:val="22"/>
        </w:rPr>
        <w:t xml:space="preserve">This policy applies to all individuals who have access to PolicyLift's information technology (IT) systems, including employees (permanent, temporary, and part-time), contractors, vendors, consultants, and third-party service providers. The policy covers all IT resources, including computers, mobile devices, software, networks, cloud services, data storage, and any other assets managed or owned by PolicyLift.</w:t>
      </w:r>
    </w:p>
    <w:p>
      <w:pPr>
        <w:spacing w:before="60" w:after="60"/>
      </w:pPr>
    </w:p>
    <w:p>
      <w:pPr>
        <w:pStyle w:val="Heading2"/>
        <w:spacing w:before="200" w:after="100"/>
      </w:pPr>
      <w:r>
        <w:rPr>
          <w:rFonts w:ascii="Arial" w:cs="Arial" w:eastAsia="Arial" w:hAnsi="Arial"/>
          <w:b/>
          <w:bCs/>
          <w:sz w:val="24"/>
          <w:szCs w:val="24"/>
        </w:rPr>
        <w:t xml:space="preserve">System Access and Authentication</w:t>
      </w:r>
    </w:p>
    <w:p>
      <w:pPr>
        <w:spacing w:before="60" w:after="60"/>
      </w:pPr>
    </w:p>
    <w:p>
      <w:pPr>
        <w:spacing w:before="60" w:after="60"/>
      </w:pPr>
      <w:commentRangeStart w:id="0"/>
      <w:r>
        <w:rPr>
          <w:rFonts w:ascii="Arial" w:cs="Arial" w:eastAsia="Arial" w:hAnsi="Arial"/>
          <w:sz w:val="22"/>
          <w:szCs w:val="22"/>
        </w:rPr>
        <w:t xml:space="preserve">Users must access systems only through their assigned unique credentials. Sharing of credentials is strictly prohibited except where explicitly authorized for shared service accounts. All shared account credentials must be stored in a Company-approved password manager. Multi-factor authentication is required for all system access where available. Users must maintain secure password practices, including using unique passwords for each system and maintaining complexity requirements. Passwords must never be shared and should only be stored in approved password managers. Users must change their passwords immediately if compromise is suspected.</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Resource Usage Requirements</w:t>
      </w:r>
    </w:p>
    <w:p>
      <w:pPr>
        <w:spacing w:before="60" w:after="60"/>
      </w:pPr>
    </w:p>
    <w:p>
      <w:pPr>
        <w:spacing w:before="60" w:after="60"/>
      </w:pPr>
      <w:r>
        <w:rPr>
          <w:rFonts w:ascii="Arial" w:cs="Arial" w:eastAsia="Arial" w:hAnsi="Arial"/>
          <w:sz w:val="22"/>
          <w:szCs w:val="22"/>
        </w:rPr>
        <w:t xml:space="preserve">PolicyLift's IT resources are provided primarily for business purposes. Limited personal use is permitted, provided such use does not interfere with work duties, violate PolicyLift policies, burden systems or network resources, pose security risks, or incur additional costs.</w:t>
      </w:r>
    </w:p>
    <w:p>
      <w:pPr>
        <w:spacing w:before="60" w:after="60"/>
      </w:pPr>
    </w:p>
    <w:p>
      <w:pPr>
        <w:spacing w:before="60" w:after="60"/>
      </w:pPr>
      <w:r>
        <w:rPr>
          <w:rFonts w:ascii="Arial" w:cs="Arial" w:eastAsia="Arial" w:hAnsi="Arial"/>
          <w:sz w:val="22"/>
          <w:szCs w:val="22"/>
        </w:rPr>
        <w:t xml:space="preserve">All data created, transmitted, or stored on PolicyLift systems remains the property of PolicyLift and may be monitored or audited at any time. Users should have no expectation of privacy when using PolicyLift resources for personal purposes.</w:t>
      </w:r>
    </w:p>
    <w:p>
      <w:pPr>
        <w:spacing w:before="60" w:after="60"/>
      </w:pPr>
    </w:p>
    <w:p>
      <w:pPr>
        <w:pStyle w:val="Heading2"/>
        <w:spacing w:before="200" w:after="100"/>
      </w:pPr>
      <w:r>
        <w:rPr>
          <w:rFonts w:ascii="Arial" w:cs="Arial" w:eastAsia="Arial" w:hAnsi="Arial"/>
          <w:b/>
          <w:bCs/>
          <w:sz w:val="24"/>
          <w:szCs w:val="24"/>
        </w:rPr>
        <w:t xml:space="preserve">User Responsibilities</w:t>
      </w:r>
    </w:p>
    <w:p>
      <w:pPr>
        <w:spacing w:before="60" w:after="60"/>
      </w:pPr>
    </w:p>
    <w:p>
      <w:pPr>
        <w:spacing w:before="60" w:after="60"/>
      </w:pPr>
      <w:commentRangeStart w:id="2"/>
      <w:r>
        <w:rPr>
          <w:rFonts w:ascii="Arial" w:cs="Arial" w:eastAsia="Arial" w:hAnsi="Arial"/>
          <w:sz w:val="22"/>
          <w:szCs w:val="22"/>
        </w:rPr>
        <w:t xml:space="preserve">Users are required to protect and secure any devices used to access PolicyLift systems and must report all security incidents and suspected compromises immediately. All users must follow established data handling and protection requirements while completing required security awareness training. Systems must be locked or logged out when unattended, and users should only utilize approved software and services while ensuring their systems and software remain up to date.</w:t>
      </w:r>
      <w:commentRangeEnd w:id="2"/>
      <w:r>
        <w:rPr>
          <w:rStyle w:val="CommentReference"/>
        </w:rPr>
        <w:commentReference w:id="2"/>
      </w:r>
    </w:p>
    <w:p>
      <w:pPr>
        <w:spacing w:before="60" w:after="60"/>
      </w:pPr>
    </w:p>
    <w:p>
      <w:pPr>
        <w:pStyle w:val="Heading2"/>
        <w:spacing w:before="200" w:after="100"/>
      </w:pPr>
      <w:r>
        <w:rPr>
          <w:rFonts w:ascii="Arial" w:cs="Arial" w:eastAsia="Arial" w:hAnsi="Arial"/>
          <w:b/>
          <w:bCs/>
          <w:sz w:val="24"/>
          <w:szCs w:val="24"/>
        </w:rPr>
        <w:t xml:space="preserve">Prohibited Activities</w:t>
      </w:r>
    </w:p>
    <w:p>
      <w:pPr>
        <w:spacing w:before="60" w:after="60"/>
      </w:pPr>
    </w:p>
    <w:p>
      <w:pPr>
        <w:spacing w:before="60" w:after="60"/>
      </w:pPr>
      <w:commentRangeStart w:id="7"/>
      <w:r>
        <w:rPr>
          <w:rFonts w:ascii="Arial" w:cs="Arial" w:eastAsia="Arial" w:hAnsi="Arial"/>
          <w:sz w:val="22"/>
          <w:szCs w:val="22"/>
        </w:rPr>
        <w:t xml:space="preserve">The use of PolicyLift resources for any unlawful purpose is strictly prohibited. Users must not attempt to circumvent security controls, share access credentials (except for approved shared accounts), or install unauthorized software or hardware. The use of PolicyLift resources for personal financial gain, accessing or sharing inappropriate content, sending spam or phishing emails, or introducing malware is forbidden. Additionally, users must not perform unauthorized system scanning or testing, access systems or data without authorization, or remove security controls or protections.</w:t>
      </w:r>
      <w:commentRangeEnd w:id="7"/>
      <w:r>
        <w:rPr>
          <w:rStyle w:val="CommentReference"/>
        </w:rPr>
        <w:commentReference w:id="7"/>
      </w:r>
    </w:p>
    <w:p>
      <w:pPr>
        <w:spacing w:before="60" w:after="60"/>
      </w:pPr>
    </w:p>
    <w:p>
      <w:pPr>
        <w:spacing w:before="60" w:after="60"/>
      </w:pPr>
      <w:commentRangeStart w:id="8"/>
      <w:r>
        <w:rPr>
          <w:rFonts w:ascii="Arial" w:cs="Arial" w:eastAsia="Arial" w:hAnsi="Arial"/>
          <w:sz w:val="22"/>
          <w:szCs w:val="22"/>
        </w:rPr>
        <w:t xml:space="preserve">Users are explicitly prohibited from attempting to access, modify, or delete system logs, audit trails, or security data.</w:t>
      </w:r>
      <w:commentRangeEnd w:id="8"/>
      <w:r>
        <w:rPr>
          <w:rStyle w:val="CommentReference"/>
        </w:rPr>
        <w:commentReference w:id="8"/>
      </w:r>
    </w:p>
    <w:p>
      <w:pPr>
        <w:spacing w:before="60" w:after="60"/>
      </w:pPr>
    </w:p>
    <w:p>
      <w:pPr>
        <w:pStyle w:val="Heading2"/>
        <w:spacing w:before="200" w:after="100"/>
      </w:pPr>
      <w:r>
        <w:rPr>
          <w:rFonts w:ascii="Arial" w:cs="Arial" w:eastAsia="Arial" w:hAnsi="Arial"/>
          <w:b/>
          <w:bCs/>
          <w:sz w:val="24"/>
          <w:szCs w:val="24"/>
        </w:rPr>
        <w:t xml:space="preserve">Data Protection Requirements</w:t>
      </w:r>
    </w:p>
    <w:p>
      <w:pPr>
        <w:spacing w:before="60" w:after="60"/>
      </w:pPr>
    </w:p>
    <w:p>
      <w:pPr>
        <w:spacing w:before="60" w:after="60"/>
      </w:pPr>
      <w:commentRangeStart w:id="9"/>
      <w:r>
        <w:rPr>
          <w:rFonts w:ascii="Arial" w:cs="Arial" w:eastAsia="Arial" w:hAnsi="Arial"/>
          <w:sz w:val="22"/>
          <w:szCs w:val="22"/>
        </w:rPr>
        <w:t xml:space="preserve">All users must handle data according to its established sensitivity level, ensuring appropriate encryption for sensitive data both in transit and at rest. Users must implement approved cryptographic controls based on risk assessment and follow specific requirements for cryptographic key management. Additional controls must be applied for sensitive data categories as defined by PolicyLift's data classification policy.</w:t>
      </w:r>
      <w:commentRangeEnd w:id="9"/>
      <w:r>
        <w:rPr>
          <w:rStyle w:val="CommentReference"/>
        </w:rPr>
        <w:commentReference w:id="9"/>
      </w:r>
    </w:p>
    <w:p>
      <w:pPr>
        <w:spacing w:before="60" w:after="60"/>
      </w:pPr>
    </w:p>
    <w:p>
      <w:pPr>
        <w:spacing w:before="60" w:after="60"/>
      </w:pPr>
      <w:commentRangeStart w:id="10"/>
      <w:r>
        <w:rPr>
          <w:rFonts w:ascii="Arial" w:cs="Arial" w:eastAsia="Arial" w:hAnsi="Arial"/>
          <w:sz w:val="22"/>
          <w:szCs w:val="22"/>
        </w:rPr>
        <w:t xml:space="preserve">Data storage is restricted to approved systems and services only. The sharing of sensitive data outside PolicyLift requires proper authorization. Any suspected data breaches must be reported immediately, and users must adhere to all backup and retention requirements. Data should be deleted when it is no longer needed for business purposes.</w:t>
      </w:r>
      <w:commentRangeEnd w:id="10"/>
      <w:r>
        <w:rPr>
          <w:rStyle w:val="CommentReference"/>
        </w:rPr>
        <w:commentReference w:id="10"/>
      </w:r>
    </w:p>
    <w:p>
      <w:pPr>
        <w:spacing w:before="60" w:after="60"/>
      </w:pPr>
    </w:p>
    <w:p>
      <w:pPr>
        <w:pStyle w:val="Heading2"/>
        <w:spacing w:before="200" w:after="100"/>
      </w:pPr>
      <w:r>
        <w:rPr>
          <w:rFonts w:ascii="Arial" w:cs="Arial" w:eastAsia="Arial" w:hAnsi="Arial"/>
          <w:b/>
          <w:bCs/>
          <w:sz w:val="24"/>
          <w:szCs w:val="24"/>
        </w:rPr>
        <w:t xml:space="preserve">Communication and Internet Usage</w:t>
      </w:r>
    </w:p>
    <w:p>
      <w:pPr>
        <w:spacing w:before="60" w:after="60"/>
      </w:pPr>
    </w:p>
    <w:p>
      <w:pPr>
        <w:spacing w:before="60" w:after="60"/>
      </w:pPr>
      <w:commentRangeStart w:id="13"/>
      <w:commentRangeStart w:id="11"/>
      <w:r>
        <w:rPr>
          <w:rFonts w:ascii="Arial" w:cs="Arial" w:eastAsia="Arial" w:hAnsi="Arial"/>
          <w:sz w:val="22"/>
          <w:szCs w:val="22"/>
        </w:rPr>
        <w:t xml:space="preserve">Email and messaging systems are provided primarily for business communications. Users must maintain professional communication standards and protect sensitive data appropriately when transmitted. Recipients must be verified before sending communications, and automatic email forwarding to external addresses is prohibited. Personal email accounts should not be used for PolicyLift business.</w:t>
      </w:r>
      <w:commentRangeEnd w:id="11"/>
      <w:r>
        <w:rPr>
          <w:rStyle w:val="CommentReference"/>
        </w:rPr>
        <w:commentReference w:id="11"/>
      </w:r>
      <w:commentRangeEnd w:id="13"/>
      <w:r>
        <w:rPr>
          <w:rStyle w:val="CommentReference"/>
        </w:rPr>
        <w:commentReference w:id="13"/>
      </w:r>
    </w:p>
    <w:p>
      <w:pPr>
        <w:spacing w:before="60" w:after="60"/>
      </w:pPr>
    </w:p>
    <w:p>
      <w:pPr>
        <w:spacing w:before="60" w:after="60"/>
      </w:pPr>
      <w:r>
        <w:rPr>
          <w:rFonts w:ascii="Arial" w:cs="Arial" w:eastAsia="Arial" w:hAnsi="Arial"/>
          <w:sz w:val="22"/>
          <w:szCs w:val="22"/>
        </w:rPr>
        <w:t xml:space="preserve">Internet access is provided for business purposes, with limited personal use permitted within the bounds of other policy requirements. Users must exercise good judgment when accessing internet resources through PolicyLift systems.</w:t>
      </w:r>
    </w:p>
    <w:p>
      <w:pPr>
        <w:spacing w:before="60" w:after="60"/>
      </w:pPr>
    </w:p>
    <w:p>
      <w:pPr>
        <w:pStyle w:val="Heading2"/>
        <w:spacing w:before="200" w:after="100"/>
      </w:pPr>
      <w:r>
        <w:rPr>
          <w:rFonts w:ascii="Arial" w:cs="Arial" w:eastAsia="Arial" w:hAnsi="Arial"/>
          <w:b/>
          <w:bCs/>
          <w:sz w:val="24"/>
          <w:szCs w:val="24"/>
        </w:rPr>
        <w:t xml:space="preserve">Software and Device Management</w:t>
      </w:r>
    </w:p>
    <w:p>
      <w:pPr>
        <w:spacing w:before="60" w:after="60"/>
      </w:pPr>
    </w:p>
    <w:p>
      <w:pPr>
        <w:spacing w:before="60" w:after="60"/>
      </w:pPr>
      <w:commentRangeStart w:id="5"/>
      <w:commentRangeStart w:id="4"/>
      <w:r>
        <w:rPr>
          <w:rFonts w:ascii="Arial" w:cs="Arial" w:eastAsia="Arial" w:hAnsi="Arial"/>
          <w:sz w:val="22"/>
          <w:szCs w:val="22"/>
        </w:rPr>
        <w:t xml:space="preserve">All software installations must be approved by IT, and users must maintain proper software licenses and compliance. Regular security patches and updates must be applied to all systems and software. Users may only utilize approved cloud services and applications. Any devices used for PolicyLift business must be registered and follow all configuration and security requirements.</w:t>
      </w:r>
      <w:commentRangeEnd w:id="4"/>
      <w:r>
        <w:rPr>
          <w:rStyle w:val="CommentReference"/>
        </w:rPr>
        <w:commentReference w:id="4"/>
      </w:r>
      <w:commentRangeEnd w:id="5"/>
      <w:r>
        <w:rPr>
          <w:rStyle w:val="CommentReference"/>
        </w:rPr>
        <w:commentReference w:id="5"/>
      </w:r>
    </w:p>
    <w:p>
      <w:pPr>
        <w:spacing w:before="60" w:after="60"/>
      </w:pPr>
    </w:p>
    <w:p>
      <w:pPr>
        <w:spacing w:before="60" w:after="60"/>
      </w:pPr>
      <w:r>
        <w:rPr>
          <w:rFonts w:ascii="Arial" w:cs="Arial" w:eastAsia="Arial" w:hAnsi="Arial"/>
          <w:sz w:val="22"/>
          <w:szCs w:val="22"/>
        </w:rPr>
        <w:t xml:space="preserve">Personal devices used for PolicyLift business activities must comply with PolicyLift's Bring Your Own Device (BYOD) policy requirements.</w:t>
      </w:r>
    </w:p>
    <w:p>
      <w:pPr>
        <w:spacing w:before="60" w:after="60"/>
      </w:pPr>
    </w:p>
    <w:p>
      <w:pPr>
        <w:pStyle w:val="Heading2"/>
        <w:spacing w:before="200" w:after="100"/>
      </w:pPr>
      <w:r>
        <w:rPr>
          <w:rFonts w:ascii="Arial" w:cs="Arial" w:eastAsia="Arial" w:hAnsi="Arial"/>
          <w:b/>
          <w:bCs/>
          <w:sz w:val="24"/>
          <w:szCs w:val="24"/>
        </w:rPr>
        <w:t xml:space="preserve">Monitoring and Privacy</w:t>
      </w:r>
    </w:p>
    <w:p>
      <w:pPr>
        <w:spacing w:before="60" w:after="60"/>
      </w:pPr>
    </w:p>
    <w:p>
      <w:pPr>
        <w:spacing w:before="60" w:after="60"/>
      </w:pPr>
      <w:commentRangeStart w:id="6"/>
      <w:r>
        <w:rPr>
          <w:rFonts w:ascii="Arial" w:cs="Arial" w:eastAsia="Arial" w:hAnsi="Arial"/>
          <w:sz w:val="22"/>
          <w:szCs w:val="22"/>
        </w:rPr>
        <w:t xml:space="preserve">PolicyLift maintains comprehensive audit logs documenting user activities, access patterns, system configuration changes, security events, administrator activities, time synchronization, and system alerts. These logs are essential for maintaining system security and investigating potential incidents.</w:t>
      </w:r>
      <w:commentRangeEnd w:id="6"/>
      <w:r>
        <w:rPr>
          <w:rStyle w:val="CommentReference"/>
        </w:rPr>
        <w:commentReference w:id="6"/>
      </w:r>
    </w:p>
    <w:p>
      <w:pPr>
        <w:spacing w:before="60" w:after="60"/>
      </w:pPr>
    </w:p>
    <w:p>
      <w:pPr>
        <w:spacing w:before="60" w:after="60"/>
      </w:pPr>
      <w:r>
        <w:rPr>
          <w:rFonts w:ascii="Arial" w:cs="Arial" w:eastAsia="Arial" w:hAnsi="Arial"/>
          <w:sz w:val="22"/>
          <w:szCs w:val="22"/>
        </w:rPr>
        <w:t xml:space="preserve">PolicyLift maintains the right to monitor all system and network activity, audit user actions and access, review stored data and communications, block access to resources, and remove unauthorized software or data. Users should understand that they have no expectation of privacy when using PolicyLift systems.</w:t>
      </w:r>
    </w:p>
    <w:p>
      <w:pPr>
        <w:spacing w:before="60" w:after="60"/>
      </w:pPr>
    </w:p>
    <w:p>
      <w:pPr>
        <w:pStyle w:val="Heading2"/>
        <w:spacing w:before="200" w:after="100"/>
      </w:pPr>
      <w:r>
        <w:rPr>
          <w:rFonts w:ascii="Arial" w:cs="Arial" w:eastAsia="Arial" w:hAnsi="Arial"/>
          <w:b/>
          <w:bCs/>
          <w:sz w:val="24"/>
          <w:szCs w:val="24"/>
        </w:rPr>
        <w:t xml:space="preserve">Security Incident Reporting</w:t>
      </w:r>
    </w:p>
    <w:p>
      <w:pPr>
        <w:spacing w:before="60" w:after="60"/>
      </w:pPr>
    </w:p>
    <w:p>
      <w:pPr>
        <w:spacing w:before="60" w:after="60"/>
      </w:pPr>
      <w:r>
        <w:rPr>
          <w:rFonts w:ascii="Arial" w:cs="Arial" w:eastAsia="Arial" w:hAnsi="Arial"/>
          <w:sz w:val="22"/>
          <w:szCs w:val="22"/>
        </w:rPr>
        <w:t xml:space="preserve">Security incidents must be reported immediately, including any suspected breaches, lost or stolen devices, credential compromises, unusual system behavior, security control failures, or policy violations. Prompt reporting enables PolicyLift to respond effectively to security threats and minimize potential damage.</w:t>
      </w:r>
    </w:p>
    <w:p>
      <w:pPr>
        <w:spacing w:before="60" w:after="60"/>
      </w:pPr>
    </w:p>
    <w:p>
      <w:pPr>
        <w:pStyle w:val="Heading2"/>
        <w:spacing w:before="200" w:after="100"/>
      </w:pPr>
      <w:r>
        <w:rPr>
          <w:rFonts w:ascii="Arial" w:cs="Arial" w:eastAsia="Arial" w:hAnsi="Arial"/>
          <w:b/>
          <w:bCs/>
          <w:sz w:val="24"/>
          <w:szCs w:val="24"/>
        </w:rPr>
        <w:t xml:space="preserve">Non-Compliance</w:t>
      </w:r>
    </w:p>
    <w:p>
      <w:pPr>
        <w:spacing w:before="60" w:after="60"/>
      </w:pPr>
    </w:p>
    <w:p>
      <w:pPr>
        <w:spacing w:before="60" w:after="60"/>
      </w:pPr>
      <w:commentRangeStart w:id="12"/>
      <w:r>
        <w:rPr>
          <w:rFonts w:ascii="Arial" w:cs="Arial" w:eastAsia="Arial" w:hAnsi="Arial"/>
          <w:sz w:val="22"/>
          <w:szCs w:val="22"/>
        </w:rPr>
        <w:t xml:space="preserve">Any violation of this policy may result in disciplinary action, including but not limited to revocation of system access or termination of employment. PolicyLift reserves the right to pursue legal action where applicable, and violators may be held responsible for any damages or losses resulting from their actions. All policy violations will be documented and thoroughly investigated.</w:t>
      </w:r>
      <w:commentRangeEnd w:id="12"/>
      <w:r>
        <w:rPr>
          <w:rStyle w:val="CommentReference"/>
        </w:rPr>
        <w:commentReference w:id="12"/>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09Z" w:initials="PR">
    <w:p w14:paraId="4B52996C" w14:textId="77777777">
      <w:r>
        <w:rPr>
          <w:rStyle w:val="CommentReference"/>
        </w:rPr>
        <w:annotationRef/>
      </w:r>
      <w:r>
        <w:rPr>
          <w:color w:val="000000"/>
          <w:sz w:val="20"/>
          <w:szCs w:val="20"/>
        </w:rPr>
        <w:t>COMMITMENT — MFA Implementation for All System Access
What this says: Users must use multi-factor authentication for all system access where available, and they must maintain secure password practices including unique passwords per system.
Why it matters: For a 9-person startup with 4 offshore devs, enforcing MFA is critical to prevent credential compromise. With limited IT staff (CTO), this is non-negotiable for SOC 2 compliance and cloud infrastructure security.
Recommendation: Implement MFA enforcement across Supabase, email, version control (likely GitHub), and any CI/CD tools immediately. Test with all 13 team members including offshore devs. Document which systems have MFA enabled and maintain records of enforcement.</w:t>
      </w:r>
    </w:p>
  </w:comment>
  <w:comment w:id="1" w:author="PolicyLift Reviewer" w:date="2026-02-10T01:43:09Z" w:initials="PR">
    <w:p w14:paraId="1CC843F7" w14:textId="77777777">
      <w:r>
        <w:rPr>
          <w:rStyle w:val="CommentReference"/>
        </w:rPr>
        <w:annotationRef/>
      </w:r>
      <w:r>
        <w:rPr>
          <w:color w:val="000000"/>
          <w:sz w:val="20"/>
          <w:szCs w:val="20"/>
        </w:rPr>
        <w:t>COMMITMENT — Centralized Credential Management
What this says: Shared account passwords must only be stored in a Company-approved password manager; passwords must never be hardcoded or embedded in static code.
Why it matters: With offshore devs managing infrastructure, a centralized password manager (like 1Password or Vault) prevents credential sprawl and enables audit trails. This is a SOC 2 Type I expectation.
Recommendation: Select and deploy a company-approved password manager before SOC 2 audit. Mandate all 13 team members (including offshore devs via agency) use it. Document the password manager selection and access controls. This is a quick win for compliance.</w:t>
      </w:r>
    </w:p>
  </w:comment>
  <w:comment w:id="2" w:author="PolicyLift Reviewer" w:date="2026-02-10T01:43:09Z" w:initials="PR">
    <w:p w14:paraId="4904B8EB" w14:textId="77777777">
      <w:r>
        <w:rPr>
          <w:rStyle w:val="CommentReference"/>
        </w:rPr>
        <w:annotationRef/>
      </w:r>
      <w:r>
        <w:rPr>
          <w:color w:val="000000"/>
          <w:sz w:val="20"/>
          <w:szCs w:val="20"/>
        </w:rPr>
        <w:t>ROLE — Device Security Responsibility
Why it matters: Offshore devs are using devices outside your control. PolicyLift needs clear expectations about BYOD and personal device security, especially for accessing Supabase and production infrastructure.
What this says: Users must protect devices used to access PolicyLift systems and report all security incidents immediately, including suspected compromises or unusual system behavior.
Recommendation: Create a separate BYOD security addendum covering offshore devs. Require device compliance scans (e.g., Crowdstrike, Jamf) before granting access. Document device inventory and security status for all 13 team members.</w:t>
      </w:r>
    </w:p>
  </w:comment>
  <w:comment w:id="3" w:author="PolicyLift Reviewer" w:date="2026-02-10T01:43:09Z" w:initials="PR">
    <w:p w14:paraId="28079BF8" w14:textId="77777777">
      <w:r>
        <w:rPr>
          <w:rStyle w:val="CommentReference"/>
        </w:rPr>
        <w:annotationRef/>
      </w:r>
      <w:r>
        <w:rPr>
          <w:color w:val="000000"/>
          <w:sz w:val="20"/>
          <w:szCs w:val="20"/>
        </w:rPr>
        <w:t>PROCESS — Incident Reporting Protocol
What this says: All users must report security incidents immediately, including breaches, lost/stolen devices, credential compromises, unusual system behavior, control failures, or policy violations.
Why it matters: With no dedicated Security team or Compliance Officer, incident response relies on rapid detection and CTO escalation. Immediate reporting is essential for SOC 2 Type I audit readiness.
Recommendation: Create a written incident reporting procedure (email to CTO, Slack channel, or ticket system). Test with a mock incident drill. Document response times and resolutions. Include offshore dev contact procedures (time zone considerations).</w:t>
      </w:r>
    </w:p>
  </w:comment>
  <w:comment w:id="4" w:author="PolicyLift Reviewer" w:date="2026-02-10T01:43:09Z" w:initials="PR">
    <w:p w14:paraId="02FE79E5" w14:textId="77777777">
      <w:r>
        <w:rPr>
          <w:rStyle w:val="CommentReference"/>
        </w:rPr>
        <w:annotationRef/>
      </w:r>
      <w:r>
        <w:rPr>
          <w:color w:val="000000"/>
          <w:sz w:val="20"/>
          <w:szCs w:val="20"/>
        </w:rPr>
        <w:t>ROLE — IT Software Approval Authority
What this says: All software installations require IT approval; users must maintain proper licenses and compliance; regular security patches and updates must be applied.
Why it matters: PolicyLift lacks an IT department. This policy delegates approval to ’IT’ (implicitly the CTO), but 4 offshore devs may attempt to install tools without approval. This creates governance and compliance gaps.
Recommendation: CTO must define a formal software approval process (whitelist of tools, Slack approval workflow, monthly reviews). Document all approved software with license terms. Require offshore agency to follow this process contractually. Consider configuration management tools to enforce approved software.</w:t>
      </w:r>
    </w:p>
  </w:comment>
  <w:comment w:id="5" w:author="PolicyLift Reviewer" w:date="2026-02-10T01:43:09Z" w:initials="PR">
    <w:p w14:paraId="1C033991" w14:textId="77777777">
      <w:r>
        <w:rPr>
          <w:rStyle w:val="CommentReference"/>
        </w:rPr>
        <w:annotationRef/>
      </w:r>
      <w:r>
        <w:rPr>
          <w:color w:val="000000"/>
          <w:sz w:val="20"/>
          <w:szCs w:val="20"/>
        </w:rPr>
        <w:t>SCOPE — Device Registration and BYOD Compliance
What this says: All devices used for PolicyLift business must be registered and follow configuration and security requirements; personal devices must comply with BYOD policy requirements.
Why it matters: With 4 offshore devs, distinguishing between company-issued and personal devices is unclear. Unregistered devices create audit and compliance gaps for SOC 2 Type I.
Recommendation: Create a device inventory spreadsheet (asset tag, owner, OS, last patched, MFA status). Require registration before network/cloud access. For offshore devs, have the agency provide device compliance attestations. Review quarterly.</w:t>
      </w:r>
    </w:p>
  </w:comment>
  <w:comment w:id="6" w:author="PolicyLift Reviewer" w:date="2026-02-10T01:43:09Z" w:initials="PR">
    <w:p w14:paraId="5668A1D6" w14:textId="77777777">
      <w:r>
        <w:rPr>
          <w:rStyle w:val="CommentReference"/>
        </w:rPr>
        <w:annotationRef/>
      </w:r>
      <w:r>
        <w:rPr>
          <w:color w:val="000000"/>
          <w:sz w:val="20"/>
          <w:szCs w:val="20"/>
        </w:rPr>
        <w:t>EVIDENCE — Audit Log Collection and Retention
What this says: Comprehensive audit logs must document user activities, access patterns, system configuration changes, security events, administrator activities, time synchronization, and system alerts.
Why it matters: SOC 2 Type I requires evidence of logging across all systems. With no internal audit or SIEM, PolicyLift must ensure Supabase and infrastructure logging are configured and retained.
Recommendation: Verify Supabase is logging all database access (user ID, timestamp, action, IP). Configure infrastructure logging (SSH, sudo, system events). Use cloud native logging (CloudTrail, GCP Cloud Audit Logs) if applicable. Retain logs for minimum 90 days. Test log retention and retrievability before audit.</w:t>
      </w:r>
    </w:p>
  </w:comment>
  <w:comment w:id="7" w:author="PolicyLift Reviewer" w:date="2026-02-10T01:43:09Z" w:initials="PR">
    <w:p w14:paraId="7F7A226B" w14:textId="77777777">
      <w:r>
        <w:rPr>
          <w:rStyle w:val="CommentReference"/>
        </w:rPr>
        <w:annotationRef/>
      </w:r>
      <w:r>
        <w:rPr>
          <w:color w:val="000000"/>
          <w:sz w:val="20"/>
          <w:szCs w:val="20"/>
        </w:rPr>
        <w:t>COMMITMENT — Prohibition on Security Control Bypasses
What this says: Users are prohibited from attempting to circumvent security controls, sharing credentials (except approved shared accounts), installing unauthorized software/hardware, or removing security protections.
Why it matters: Offshore devs may be tempted to bypass controls for convenience. This prohibition must be enforced contractually and technically through the agency relationship.
Recommendation: Add explicit language to offshore dev agency contracts requiring security control compliance. Configure infrastructure to prevent privilege escalation and unauthorized tool installation. Document any violations for audit trail.</w:t>
      </w:r>
    </w:p>
  </w:comment>
  <w:comment w:id="8" w:author="PolicyLift Reviewer" w:date="2026-02-10T01:43:09Z" w:initials="PR">
    <w:p w14:paraId="7CE037E5" w14:textId="77777777">
      <w:r>
        <w:rPr>
          <w:rStyle w:val="CommentReference"/>
        </w:rPr>
        <w:annotationRef/>
      </w:r>
      <w:r>
        <w:rPr>
          <w:color w:val="000000"/>
          <w:sz w:val="20"/>
          <w:szCs w:val="20"/>
        </w:rPr>
        <w:t>COMMITMENT — Prohibition on Audit Log Tampering
What this says: Users must not attempt to access, modify, or delete system logs, audit trails, or security data.
Why it matters: This is a critical SOC 2 control. Allowing log tampering destroys audit integrity. With database-level access, developers (including offshore) could attempt to modify logs unless prevented technically and contractually.
Recommendation: Implement read-only audit log permissions in Supabase. Archive logs to immutable storage (S3 with versioning disabled, GCS with retention locks). Require CTO approval for any log access. Document log access controls before SOC 2 audit.</w:t>
      </w:r>
    </w:p>
  </w:comment>
  <w:comment w:id="9" w:author="PolicyLift Reviewer" w:date="2026-02-10T01:43:09Z" w:initials="PR">
    <w:p w14:paraId="15C2FCBA" w14:textId="77777777">
      <w:r>
        <w:rPr>
          <w:rStyle w:val="CommentReference"/>
        </w:rPr>
        <w:annotationRef/>
      </w:r>
      <w:r>
        <w:rPr>
          <w:color w:val="000000"/>
          <w:sz w:val="20"/>
          <w:szCs w:val="20"/>
        </w:rPr>
        <w:t>PROCESS — Data Classification and Encryption Requirements
What this says: Users must handle data per its sensitivity level; encryption must be applied for sensitive data in transit and at rest; cryptographic key management must follow approved procedures; additional controls apply for sensitive data categories per data classification policy.
Why it matters: PolicyLift is an AI insurtech startup handling sensitive customer data. Encryption and data classification are core SOC 2 CC requirements. The policy references a separate data classification policy that must exist.
Recommendation: Create or locate PolicyLift’s data classification policy (Public, Internal, Confidential, Restricted). Document encryption standards (TLS 1.2+ for transit, AES-256 for rest). Define key management (rotation frequency, access controls, backup procedures). Ensure Supabase and offshore dev environments enforce these.</w:t>
      </w:r>
    </w:p>
  </w:comment>
  <w:comment w:id="10" w:author="PolicyLift Reviewer" w:date="2026-02-10T01:43:09Z" w:initials="PR">
    <w:p w14:paraId="0950255A" w14:textId="77777777">
      <w:r>
        <w:rPr>
          <w:rStyle w:val="CommentReference"/>
        </w:rPr>
        <w:annotationRef/>
      </w:r>
      <w:r>
        <w:rPr>
          <w:color w:val="000000"/>
          <w:sz w:val="20"/>
          <w:szCs w:val="20"/>
        </w:rPr>
        <w:t>COMMITMENT — External Data Sharing Authorization
What this says: Sharing sensitive data outside PolicyLift requires proper authorization; suspected data breaches must be reported immediately; backup and retention requirements must be followed.
Why it matters: With 4 offshore devs and external dependencies (Delve for pen testing), data sharing governance is essential. Unauthorized sharing to the agency or third parties could violate customer privacy commitments.
Recommendation: Define ’proper authorization’ process (CTO/Head of Operations approval with signed data sharing agreement). Document all external access to sensitive data. Require breach notification procedures (notify CTO within 1 hour, legal counsel, customers per contract). Test breach response plan.</w:t>
      </w:r>
    </w:p>
  </w:comment>
  <w:comment w:id="11" w:author="PolicyLift Reviewer" w:date="2026-02-10T01:43:09Z" w:initials="PR">
    <w:p w14:paraId="4063E9D5" w14:textId="77777777">
      <w:r>
        <w:rPr>
          <w:rStyle w:val="CommentReference"/>
        </w:rPr>
        <w:annotationRef/>
      </w:r>
      <w:r>
        <w:rPr>
          <w:color w:val="000000"/>
          <w:sz w:val="20"/>
          <w:szCs w:val="20"/>
        </w:rPr>
        <w:t>PROCESS — Secure Communication Requirements
What this says: Email and messaging systems are for business use; users must maintain professional standards, protect sensitive data, verify recipients before sending, and prohibit automatic external email forwarding; personal email accounts must not be used for PolicyLift business.
Why it matters: Communication security is a common SOC 2 weakness. With remote/offshore team, email is primary communication vector for sensitive customer data and credentials.
Recommendation: Disable email forwarding to external addresses at the email provider (Gmail/Microsoft). Train all 13 team members on phishing/social engineering (required for SOC 2). Document communication protocols. Require any external data sharing via secure methods (not email).</w:t>
      </w:r>
    </w:p>
  </w:comment>
  <w:comment w:id="12" w:author="PolicyLift Reviewer" w:date="2026-02-10T01:43:09Z" w:initials="PR">
    <w:p w14:paraId="055E0808" w14:textId="77777777">
      <w:r>
        <w:rPr>
          <w:rStyle w:val="CommentReference"/>
        </w:rPr>
        <w:annotationRef/>
      </w:r>
      <w:r>
        <w:rPr>
          <w:color w:val="000000"/>
          <w:sz w:val="20"/>
          <w:szCs w:val="20"/>
        </w:rPr>
        <w:t>RECURRING — Policy Violation Documentation and Investigation
What this says: Violations result in disciplinary action up to termination; PolicyLift reserves the right to pursue legal action; all violations are documented and investigated; the disciplinary process deters future violations.
Why it matters: Without an HR function, enforcement falls to CEO and CTO. For SOC 2 Type I, documented enforcement demonstrates policy effectiveness to auditors.
Recommendation: Create a policy violation log (spreadsheet or ticket system). For any violation, document: date, employee/contractor, violation type, investigation findings, corrective action, follow-up. Include offshore dev violations. Review violations quarterly with CEO and Head of Operations.</w:t>
      </w:r>
    </w:p>
  </w:comment>
  <w:comment w:id="13" w:author="PolicyLift Reviewer" w:date="2026-02-10T01:43:09Z" w:initials="PR">
    <w:p w14:paraId="4E7638AA" w14:textId="77777777">
      <w:r>
        <w:rPr>
          <w:rStyle w:val="CommentReference"/>
        </w:rPr>
        <w:annotationRef/>
      </w:r>
      <w:r>
        <w:rPr>
          <w:color w:val="000000"/>
          <w:sz w:val="20"/>
          <w:szCs w:val="20"/>
        </w:rPr>
        <w:t>SCOPE — Exclusion of Personal Email Systems
What this says: Personal email accounts must not be used for PolicyLift business communications or data handling.
Why it matters: Offshore devs may use personal email for convenience or necessity depending on agency setup. PolicyLift has no control over personal email security posture or data retention.
Recommendation: Mandate company email for all communications involving sensitive data. For offshore devs, require the agency to provide company email accounts or equivalent secure communication channels. Audit email headers/logs quarterly to detect personal account usage.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2996C" w15:done="0"/>
  <w15:commentEx w15:paraId="1CC843F7" w15:done="0"/>
  <w15:commentEx w15:paraId="4904B8EB" w15:done="0"/>
  <w15:commentEx w15:paraId="28079BF8" w15:done="0"/>
  <w15:commentEx w15:paraId="02FE79E5" w15:done="0"/>
  <w15:commentEx w15:paraId="1C033991" w15:done="0"/>
  <w15:commentEx w15:paraId="5668A1D6" w15:done="0"/>
  <w15:commentEx w15:paraId="7F7A226B" w15:done="0"/>
  <w15:commentEx w15:paraId="7CE037E5" w15:done="0"/>
  <w15:commentEx w15:paraId="15C2FCBA" w15:done="0"/>
  <w15:commentEx w15:paraId="0950255A" w15:done="0"/>
  <w15:commentEx w15:paraId="4063E9D5" w15:done="0"/>
  <w15:commentEx w15:paraId="055E0808" w15:done="0"/>
  <w15:commentEx w15:paraId="4E7638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A91893B" w16cex:dateUtc="2026-02-10T01:43:09Z"/>
  <w16cex:commentExtensible w16cex:durableId="1E4A1CEA" w16cex:dateUtc="2026-02-10T01:43:09Z"/>
  <w16cex:commentExtensible w16cex:durableId="6C68C83E" w16cex:dateUtc="2026-02-10T01:43:09Z"/>
  <w16cex:commentExtensible w16cex:durableId="5D9E4E21" w16cex:dateUtc="2026-02-10T01:43:09Z"/>
  <w16cex:commentExtensible w16cex:durableId="72A9C2D8" w16cex:dateUtc="2026-02-10T01:43:09Z"/>
  <w16cex:commentExtensible w16cex:durableId="6F10F4DB" w16cex:dateUtc="2026-02-10T01:43:09Z"/>
  <w16cex:commentExtensible w16cex:durableId="07E3198A" w16cex:dateUtc="2026-02-10T01:43:09Z"/>
  <w16cex:commentExtensible w16cex:durableId="5C36F263" w16cex:dateUtc="2026-02-10T01:43:09Z"/>
  <w16cex:commentExtensible w16cex:durableId="39FE1A1B" w16cex:dateUtc="2026-02-10T01:43:09Z"/>
  <w16cex:commentExtensible w16cex:durableId="3BA82E34" w16cex:dateUtc="2026-02-10T01:43:09Z"/>
  <w16cex:commentExtensible w16cex:durableId="6660ABA6" w16cex:dateUtc="2026-02-10T01:43:09Z"/>
  <w16cex:commentExtensible w16cex:durableId="330439A9" w16cex:dateUtc="2026-02-10T01:43:09Z"/>
  <w16cex:commentExtensible w16cex:durableId="2B7CCED5" w16cex:dateUtc="2026-02-10T01:43:09Z"/>
  <w16cex:commentExtensible w16cex:durableId="38111E34" w16cex:dateUtc="2026-02-10T01:43:0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2996C" w16cid:durableId="4A91893B"/>
  <w16cid:commentId w16cid:paraId="1CC843F7" w16cid:durableId="1E4A1CEA"/>
  <w16cid:commentId w16cid:paraId="4904B8EB" w16cid:durableId="6C68C83E"/>
  <w16cid:commentId w16cid:paraId="28079BF8" w16cid:durableId="5D9E4E21"/>
  <w16cid:commentId w16cid:paraId="02FE79E5" w16cid:durableId="72A9C2D8"/>
  <w16cid:commentId w16cid:paraId="1C033991" w16cid:durableId="6F10F4DB"/>
  <w16cid:commentId w16cid:paraId="5668A1D6" w16cid:durableId="07E3198A"/>
  <w16cid:commentId w16cid:paraId="7F7A226B" w16cid:durableId="5C36F263"/>
  <w16cid:commentId w16cid:paraId="7CE037E5" w16cid:durableId="39FE1A1B"/>
  <w16cid:commentId w16cid:paraId="15C2FCBA" w16cid:durableId="3BA82E34"/>
  <w16cid:commentId w16cid:paraId="0950255A" w16cid:durableId="6660ABA6"/>
  <w16cid:commentId w16cid:paraId="4063E9D5" w16cid:durableId="330439A9"/>
  <w16cid:commentId w16cid:paraId="055E0808" w16cid:durableId="2B7CCED5"/>
  <w16cid:commentId w16cid:paraId="4E7638AA" w16cid:durableId="38111E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2026-02-10T01:43:09.069Z</dcterms:created>
  <dcterms:modified xsi:type="dcterms:W3CDTF">2026-02-10T01:43:09.069Z</dcterms:modified>
</cp:coreProperties>
</file>

<file path=docProps/custom.xml><?xml version="1.0" encoding="utf-8"?>
<Properties xmlns="http://schemas.openxmlformats.org/officeDocument/2006/custom-properties" xmlns:vt="http://schemas.openxmlformats.org/officeDocument/2006/docPropsVTypes"/>
</file>