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before="0" w:after="200"/>
      </w:pPr>
      <w:r>
        <w:rPr>
          <w:rFonts w:ascii="Arial" w:cs="Arial" w:eastAsia="Arial" w:hAnsi="Arial"/>
          <w:b/>
          <w:bCs/>
          <w:color w:val="2B579A"/>
          <w:sz w:val="32"/>
          <w:szCs w:val="32"/>
        </w:rPr>
        <w:t xml:space="preserve">Review Summary</w:t>
      </w:r>
    </w:p>
    <w:p>
      <w:pPr>
        <w:spacing w:before="60" w:after="60"/>
      </w:pPr>
      <w:r>
        <w:rPr>
          <w:rFonts w:ascii="Arial" w:cs="Arial" w:eastAsia="Arial" w:hAnsi="Arial"/>
          <w:i/>
          <w:iCs/>
          <w:sz w:val="22"/>
          <w:szCs w:val="22"/>
        </w:rPr>
        <w:t xml:space="preserve">Document: Change Management Policy</w:t>
      </w:r>
    </w:p>
    <w:p>
      <w:pPr>
        <w:spacing w:before="60" w:after="60"/>
      </w:pPr>
      <w:r>
        <w:rPr>
          <w:rFonts w:ascii="Arial" w:cs="Arial" w:eastAsia="Arial" w:hAnsi="Arial"/>
          <w:sz w:val="22"/>
          <w:szCs w:val="22"/>
        </w:rPr>
        <w:t xml:space="preserve">Reviewer: PolicyLift Reviewer</w:t>
      </w:r>
    </w:p>
    <w:p>
      <w:pPr>
        <w:spacing w:before="60" w:after="120"/>
      </w:pPr>
      <w:r>
        <w:rPr>
          <w:rFonts w:ascii="Arial" w:cs="Arial" w:eastAsia="Arial" w:hAnsi="Arial"/>
          <w:sz w:val="22"/>
          <w:szCs w:val="22"/>
        </w:rPr>
        <w:t xml:space="preserve">Review Date: 2026-02-10</w:t>
      </w:r>
    </w:p>
    <w:p>
      <w:pPr>
        <w:pStyle w:val="Heading2"/>
        <w:spacing w:before="160" w:after="100"/>
      </w:pPr>
      <w:r>
        <w:rPr>
          <w:rFonts w:ascii="Arial" w:cs="Arial" w:eastAsia="Arial" w:hAnsi="Arial"/>
          <w:b/>
          <w:bCs/>
          <w:sz w:val="24"/>
          <w:szCs w:val="24"/>
        </w:rPr>
        <w:t xml:space="preserve">Flags by Category</w:t>
      </w:r>
    </w:p>
    <w:tbl>
      <w:tblPr>
        <w:tblW w:type="dxa" w:w="4200"/>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tblGrid>
      <w:tr>
        <w:tc>
          <w:tcPr>
            <w:tcW w:type="dxa" w:w="3000"/>
            <w:tcBorders>
              <w:top w:val="single" w:color="999999" w:sz="1"/>
              <w:left w:val="single" w:color="999999" w:sz="1"/>
              <w:bottom w:val="single" w:color="999999" w:sz="1"/>
              <w:right w:val="single" w:color="999999" w:sz="1"/>
            </w:tcBorders>
            <w:shd w:fill="2B579A" w:val="clear"/>
            <w:tcMar>
              <w:top w:type="dxa" w:w="60"/>
              <w:left w:type="dxa" w:w="100"/>
              <w:bottom w:type="dxa" w:w="60"/>
              <w:right w:type="dxa" w:w="100"/>
            </w:tcMar>
          </w:tcPr>
          <w:p>
            <w:r>
              <w:rPr>
                <w:rFonts w:ascii="Arial" w:cs="Arial" w:eastAsia="Arial" w:hAnsi="Arial"/>
                <w:b/>
                <w:bCs/>
                <w:color w:val="FFFFFF"/>
                <w:sz w:val="20"/>
                <w:szCs w:val="20"/>
              </w:rPr>
              <w:t xml:space="preserve">Category</w:t>
            </w:r>
          </w:p>
        </w:tc>
        <w:tc>
          <w:tcPr>
            <w:tcW w:type="dxa" w:w="1200"/>
            <w:tcBorders>
              <w:top w:val="single" w:color="999999" w:sz="1"/>
              <w:left w:val="single" w:color="999999" w:sz="1"/>
              <w:bottom w:val="single" w:color="999999" w:sz="1"/>
              <w:right w:val="single" w:color="999999" w:sz="1"/>
            </w:tcBorders>
            <w:shd w:fill="2B579A" w:val="clear"/>
            <w:tcMar>
              <w:top w:type="dxa" w:w="60"/>
              <w:left w:type="dxa" w:w="100"/>
              <w:bottom w:type="dxa" w:w="60"/>
              <w:right w:type="dxa" w:w="100"/>
            </w:tcMar>
          </w:tcPr>
          <w:p>
            <w:r>
              <w:rPr>
                <w:rFonts w:ascii="Arial" w:cs="Arial" w:eastAsia="Arial" w:hAnsi="Arial"/>
                <w:b/>
                <w:bCs/>
                <w:color w:val="FFFFFF"/>
                <w:sz w:val="20"/>
                <w:szCs w:val="20"/>
              </w:rPr>
              <w:t xml:space="preserve">Count</w:t>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COMMITMENT</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5</w:t>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PROCESS</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4</w:t>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ROLE</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3</w:t>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TIMELINE</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2</w:t>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RECURRING</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2</w:t>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EVIDENCE</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2</w:t>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DECISION NEEDED</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1</w:t>
            </w:r>
          </w:p>
        </w:tc>
      </w:tr>
    </w:tbl>
    <w:p>
      <w:pPr>
        <w:pStyle w:val="Heading2"/>
        <w:spacing w:before="200" w:after="100"/>
      </w:pPr>
      <w:r>
        <w:rPr>
          <w:rFonts w:ascii="Arial" w:cs="Arial" w:eastAsia="Arial" w:hAnsi="Arial"/>
          <w:b/>
          <w:bCs/>
          <w:sz w:val="24"/>
          <w:szCs w:val="24"/>
        </w:rPr>
        <w:t xml:space="preserve">Top Critical Items Requiring Immediate Attention</w:t>
      </w:r>
    </w:p>
    <w:p>
      <w:pPr>
        <w:pStyle w:val="ListParagraph"/>
        <w:numPr>
          <w:ilvl w:val="0"/>
          <w:numId w:val="2"/>
        </w:numPr>
        <w:spacing w:before="40" w:after="40"/>
      </w:pPr>
      <w:r>
        <w:rPr>
          <w:rFonts w:ascii="Arial" w:cs="Arial" w:eastAsia="Arial" w:hAnsi="Arial"/>
          <w:sz w:val="22"/>
          <w:szCs w:val="22"/>
        </w:rPr>
        <w:t xml:space="preserve">Formal change control process for all IT systems and applications</w:t>
      </w:r>
    </w:p>
    <w:p>
      <w:pPr>
        <w:pStyle w:val="ListParagraph"/>
        <w:numPr>
          <w:ilvl w:val="0"/>
          <w:numId w:val="2"/>
        </w:numPr>
        <w:spacing w:before="40" w:after="40"/>
      </w:pPr>
      <w:r>
        <w:rPr>
          <w:rFonts w:ascii="Arial" w:cs="Arial" w:eastAsia="Arial" w:hAnsi="Arial"/>
          <w:sz w:val="22"/>
          <w:szCs w:val="22"/>
        </w:rPr>
        <w:t xml:space="preserve">Baseline configuration must be developed, documented, and maintained</w:t>
      </w:r>
    </w:p>
    <w:p>
      <w:pPr>
        <w:pStyle w:val="ListParagraph"/>
        <w:numPr>
          <w:ilvl w:val="0"/>
          <w:numId w:val="2"/>
        </w:numPr>
        <w:spacing w:before="40" w:after="40"/>
      </w:pPr>
      <w:r>
        <w:rPr>
          <w:rFonts w:ascii="Arial" w:cs="Arial" w:eastAsia="Arial" w:hAnsi="Arial"/>
          <w:sz w:val="22"/>
          <w:szCs w:val="22"/>
        </w:rPr>
        <w:t xml:space="preserve">All production changes require authorization and approval before implementation</w:t>
      </w:r>
    </w:p>
    <w:p>
      <w:pPr>
        <w:pStyle w:val="ListParagraph"/>
        <w:numPr>
          <w:ilvl w:val="0"/>
          <w:numId w:val="2"/>
        </w:numPr>
        <w:spacing w:before="40" w:after="40"/>
      </w:pPr>
      <w:r>
        <w:rPr>
          <w:rFonts w:ascii="Arial" w:cs="Arial" w:eastAsia="Arial" w:hAnsi="Arial"/>
          <w:sz w:val="22"/>
          <w:szCs w:val="22"/>
        </w:rPr>
        <w:t xml:space="preserve">Dev/test environment required before production deployment</w:t>
      </w:r>
    </w:p>
    <w:p>
      <w:pPr>
        <w:pStyle w:val="ListParagraph"/>
        <w:numPr>
          <w:ilvl w:val="0"/>
          <w:numId w:val="2"/>
        </w:numPr>
        <w:spacing w:before="40" w:after="40"/>
      </w:pPr>
      <w:r>
        <w:rPr>
          <w:rFonts w:ascii="Arial" w:cs="Arial" w:eastAsia="Arial" w:hAnsi="Arial"/>
          <w:sz w:val="22"/>
          <w:szCs w:val="22"/>
        </w:rPr>
        <w:t xml:space="preserve">Emergency changes need retrospective formal approval and post-incident review</w:t>
      </w:r>
    </w:p>
    <w:p>
      <w:pPr>
        <w:pStyle w:val="ListParagraph"/>
        <w:numPr>
          <w:ilvl w:val="0"/>
          <w:numId w:val="2"/>
        </w:numPr>
        <w:spacing w:before="40" w:after="40"/>
      </w:pPr>
      <w:r>
        <w:rPr>
          <w:rFonts w:ascii="Arial" w:cs="Arial" w:eastAsia="Arial" w:hAnsi="Arial"/>
          <w:sz w:val="22"/>
          <w:szCs w:val="22"/>
        </w:rPr>
        <w:t xml:space="preserve">Security patches applied within defined timeframe based on CVSS scoring</w:t>
      </w:r>
    </w:p>
    <w:p>
      <w:pPr>
        <w:pStyle w:val="ListParagraph"/>
        <w:numPr>
          <w:ilvl w:val="0"/>
          <w:numId w:val="2"/>
        </w:numPr>
        <w:spacing w:before="40" w:after="40"/>
      </w:pPr>
      <w:r>
        <w:rPr>
          <w:rFonts w:ascii="Arial" w:cs="Arial" w:eastAsia="Arial" w:hAnsi="Arial"/>
          <w:sz w:val="22"/>
          <w:szCs w:val="22"/>
        </w:rPr>
        <w:t xml:space="preserve">All changes logged, time-stamped, and attributed to author in source control</w:t>
      </w:r>
    </w:p>
    <w:p>
      <w:pPr>
        <w:pStyle w:val="ListParagraph"/>
        <w:numPr>
          <w:ilvl w:val="0"/>
          <w:numId w:val="2"/>
        </w:numPr>
        <w:spacing w:before="40" w:after="40"/>
      </w:pPr>
      <w:r>
        <w:rPr>
          <w:rFonts w:ascii="Arial" w:cs="Arial" w:eastAsia="Arial" w:hAnsi="Arial"/>
          <w:sz w:val="22"/>
          <w:szCs w:val="22"/>
        </w:rPr>
        <w:t xml:space="preserve">Post-implementation reviews for all high/medium impact changes</w:t>
      </w:r>
    </w:p>
    <w:p>
      <w:pPr>
        <w:pStyle w:val="Heading2"/>
        <w:spacing w:before="200" w:after="100"/>
      </w:pPr>
      <w:r>
        <w:rPr>
          <w:rFonts w:ascii="Arial" w:cs="Arial" w:eastAsia="Arial" w:hAnsi="Arial"/>
          <w:b/>
          <w:bCs/>
          <w:sz w:val="24"/>
          <w:szCs w:val="24"/>
        </w:rPr>
        <w:t xml:space="preserve">Role Mapping Reference</w:t>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3500"/>
        <w:gridCol w:w="3500"/>
      </w:tblGrid>
      <w:tr>
        <w:tc>
          <w:tcPr>
            <w:tcW w:type="dxa" w:w="3500"/>
            <w:tcBorders>
              <w:top w:val="single" w:color="999999" w:sz="1"/>
              <w:left w:val="single" w:color="999999" w:sz="1"/>
              <w:bottom w:val="single" w:color="999999" w:sz="1"/>
              <w:right w:val="single" w:color="999999" w:sz="1"/>
            </w:tcBorders>
            <w:shd w:fill="2B579A" w:val="clear"/>
            <w:tcMar>
              <w:top w:type="dxa" w:w="60"/>
              <w:left w:type="dxa" w:w="100"/>
              <w:bottom w:type="dxa" w:w="60"/>
              <w:right w:type="dxa" w:w="100"/>
            </w:tcMar>
          </w:tcPr>
          <w:p>
            <w:r>
              <w:rPr>
                <w:rFonts w:ascii="Arial" w:cs="Arial" w:eastAsia="Arial" w:hAnsi="Arial"/>
                <w:b/>
                <w:bCs/>
                <w:color w:val="FFFFFF"/>
                <w:sz w:val="20"/>
                <w:szCs w:val="20"/>
              </w:rPr>
              <w:t xml:space="preserve">Role Referenced</w:t>
            </w:r>
          </w:p>
        </w:tc>
        <w:tc>
          <w:tcPr>
            <w:tcW w:type="dxa" w:w="3500"/>
            <w:tcBorders>
              <w:top w:val="single" w:color="999999" w:sz="1"/>
              <w:left w:val="single" w:color="999999" w:sz="1"/>
              <w:bottom w:val="single" w:color="999999" w:sz="1"/>
              <w:right w:val="single" w:color="999999" w:sz="1"/>
            </w:tcBorders>
            <w:shd w:fill="2B579A" w:val="clear"/>
            <w:tcMar>
              <w:top w:type="dxa" w:w="60"/>
              <w:left w:type="dxa" w:w="100"/>
              <w:bottom w:type="dxa" w:w="60"/>
              <w:right w:type="dxa" w:w="100"/>
            </w:tcMar>
          </w:tcPr>
          <w:p>
            <w:r>
              <w:rPr>
                <w:rFonts w:ascii="Arial" w:cs="Arial" w:eastAsia="Arial" w:hAnsi="Arial"/>
                <w:b/>
                <w:bCs/>
                <w:color w:val="FFFFFF"/>
                <w:sz w:val="20"/>
                <w:szCs w:val="20"/>
              </w:rPr>
              <w:t xml:space="preserve">Suggested PolicyLift Owner</w:t>
            </w:r>
          </w:p>
        </w:tc>
      </w:tr>
      <w:tr>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Developers</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CTO, Developer(s), and 4 offshore developers</w:t>
            </w:r>
          </w:p>
        </w:tc>
      </w:tr>
      <w:tr>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Change approval authority</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CTO or Head of Operations</w:t>
            </w:r>
          </w:p>
        </w:tc>
      </w:tr>
      <w:tr>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IT/Engineering Management</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CTO</w:t>
            </w:r>
          </w:p>
        </w:tc>
      </w:tr>
      <w:tr>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Business owner/change advisory board</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CEO (Raghav), CTO, Head of Operations</w:t>
            </w:r>
          </w:p>
        </w:tc>
      </w:tr>
    </w:tbl>
    <w:p>
      <w:r>
        <w:br w:type="page"/>
      </w:r>
    </w:p>
    <w:p>
      <w:pPr>
        <w:pStyle w:val="Heading1"/>
        <w:spacing w:before="0" w:after="200"/>
      </w:pPr>
      <w:r>
        <w:rPr>
          <w:rFonts w:ascii="Arial" w:cs="Arial" w:eastAsia="Arial" w:hAnsi="Arial"/>
          <w:b/>
          <w:bCs/>
          <w:sz w:val="32"/>
          <w:szCs w:val="32"/>
        </w:rPr>
        <w:t xml:space="preserve">Change Management Policy</w:t>
      </w:r>
    </w:p>
    <w:p>
      <w:pPr>
        <w:pStyle w:val="Heading2"/>
        <w:spacing w:before="200" w:after="100"/>
      </w:pPr>
      <w:r>
        <w:rPr>
          <w:rFonts w:ascii="Arial" w:cs="Arial" w:eastAsia="Arial" w:hAnsi="Arial"/>
          <w:b/>
          <w:bCs/>
          <w:sz w:val="24"/>
          <w:szCs w:val="24"/>
        </w:rPr>
        <w:t xml:space="preserve">Purpose</w:t>
      </w:r>
    </w:p>
    <w:p>
      <w:pPr>
        <w:spacing w:before="60" w:after="60"/>
      </w:pPr>
    </w:p>
    <w:p>
      <w:pPr>
        <w:spacing w:before="60" w:after="60"/>
      </w:pPr>
      <w:r>
        <w:rPr>
          <w:rFonts w:ascii="Arial" w:cs="Arial" w:eastAsia="Arial" w:hAnsi="Arial"/>
          <w:sz w:val="22"/>
          <w:szCs w:val="22"/>
        </w:rPr>
        <w:t xml:space="preserve">The purpose of this policy is to establish management direction and high-level objectives for the change management process. This policy guides the implementation of changes to reduce the impact on other tasks/projects as well as to mitigate associated risks such as:</w:t>
      </w:r>
    </w:p>
    <w:p>
      <w:pPr>
        <w:spacing w:before="60" w:after="60"/>
      </w:pPr>
    </w:p>
    <w:p>
      <w:pPr>
        <w:pStyle w:val="ListParagraph"/>
        <w:numPr>
          <w:ilvl w:val="0"/>
          <w:numId w:val="3"/>
        </w:numPr>
        <w:spacing w:before="40" w:after="40"/>
      </w:pPr>
      <w:r>
        <w:rPr>
          <w:rFonts w:ascii="Arial" w:cs="Arial" w:eastAsia="Arial" w:hAnsi="Arial"/>
          <w:sz w:val="22"/>
          <w:szCs w:val="22"/>
        </w:rPr>
        <w:t xml:space="preserve">Information being corrupted and/or destroyed</w:t>
      </w:r>
    </w:p>
    <w:p>
      <w:pPr>
        <w:pStyle w:val="ListParagraph"/>
        <w:numPr>
          <w:ilvl w:val="0"/>
          <w:numId w:val="3"/>
        </w:numPr>
        <w:spacing w:before="40" w:after="40"/>
      </w:pPr>
      <w:r>
        <w:rPr>
          <w:rFonts w:ascii="Arial" w:cs="Arial" w:eastAsia="Arial" w:hAnsi="Arial"/>
          <w:sz w:val="22"/>
          <w:szCs w:val="22"/>
        </w:rPr>
        <w:t xml:space="preserve">Adverse impact on other organizational processes</w:t>
      </w:r>
    </w:p>
    <w:p>
      <w:pPr>
        <w:pStyle w:val="ListParagraph"/>
        <w:numPr>
          <w:ilvl w:val="0"/>
          <w:numId w:val="3"/>
        </w:numPr>
        <w:spacing w:before="40" w:after="40"/>
      </w:pPr>
      <w:r>
        <w:rPr>
          <w:rFonts w:ascii="Arial" w:cs="Arial" w:eastAsia="Arial" w:hAnsi="Arial"/>
          <w:sz w:val="22"/>
          <w:szCs w:val="22"/>
        </w:rPr>
        <w:t xml:space="preserve">Computer performance being disrupted and/or degraded</w:t>
      </w:r>
    </w:p>
    <w:p>
      <w:pPr>
        <w:pStyle w:val="ListParagraph"/>
        <w:numPr>
          <w:ilvl w:val="0"/>
          <w:numId w:val="3"/>
        </w:numPr>
        <w:spacing w:before="40" w:after="40"/>
      </w:pPr>
      <w:r>
        <w:rPr>
          <w:rFonts w:ascii="Arial" w:cs="Arial" w:eastAsia="Arial" w:hAnsi="Arial"/>
          <w:sz w:val="22"/>
          <w:szCs w:val="22"/>
        </w:rPr>
        <w:t xml:space="preserve">Productivity losses being incurred</w:t>
      </w:r>
    </w:p>
    <w:p>
      <w:pPr>
        <w:spacing w:before="60" w:after="60"/>
      </w:pPr>
    </w:p>
    <w:p>
      <w:pPr>
        <w:pStyle w:val="Heading3"/>
        <w:spacing w:before="160" w:after="80"/>
      </w:pPr>
      <w:r>
        <w:rPr>
          <w:rFonts w:ascii="Arial" w:cs="Arial" w:eastAsia="Arial" w:hAnsi="Arial"/>
          <w:b/>
          <w:bCs/>
          <w:sz w:val="22"/>
          <w:szCs w:val="22"/>
        </w:rPr>
        <w:t xml:space="preserve">Scope</w:t>
      </w:r>
    </w:p>
    <w:p>
      <w:pPr>
        <w:spacing w:before="60" w:after="60"/>
      </w:pPr>
    </w:p>
    <w:p>
      <w:pPr>
        <w:spacing w:before="60" w:after="60"/>
      </w:pPr>
      <w:r>
        <w:rPr>
          <w:rFonts w:ascii="Arial" w:cs="Arial" w:eastAsia="Arial" w:hAnsi="Arial"/>
          <w:sz w:val="22"/>
          <w:szCs w:val="22"/>
        </w:rPr>
        <w:t xml:space="preserve">This policy applies to all IT systems and applications managed by PolicyLift that store, process or transmit information, including network and computer hardware, software and applications, mobile devices, and telecommunication systems. In addition, it applies to all business units that operate within the organization’s network environment or utilizes its information resources.</w:t>
      </w:r>
    </w:p>
    <w:p>
      <w:pPr>
        <w:spacing w:before="60" w:after="60"/>
      </w:pPr>
    </w:p>
    <w:p>
      <w:pPr>
        <w:pStyle w:val="Heading3"/>
        <w:spacing w:before="160" w:after="80"/>
      </w:pPr>
      <w:r>
        <w:rPr>
          <w:rFonts w:ascii="Arial" w:cs="Arial" w:eastAsia="Arial" w:hAnsi="Arial"/>
          <w:b/>
          <w:bCs/>
          <w:sz w:val="22"/>
          <w:szCs w:val="22"/>
        </w:rPr>
        <w:t xml:space="preserve">Policy</w:t>
      </w:r>
    </w:p>
    <w:p>
      <w:pPr>
        <w:spacing w:before="60" w:after="60"/>
      </w:pPr>
    </w:p>
    <w:p>
      <w:pPr>
        <w:spacing w:before="60" w:after="60"/>
      </w:pPr>
      <w:commentRangeStart w:id="0"/>
      <w:r>
        <w:rPr>
          <w:rFonts w:ascii="Arial" w:cs="Arial" w:eastAsia="Arial" w:hAnsi="Arial"/>
          <w:sz w:val="22"/>
          <w:szCs w:val="22"/>
        </w:rPr>
        <w:t xml:space="preserve">Changes to information resources shall be managed and executed according to a formal change control process. The change control process will ensure that the proposed changes are reviewed, authorized, tested, implemented, and released in a controlled manner, and that the status of each proposed change is monitored. In order to fulfill this policy, the following statements shall be adhered to:</w:t>
      </w:r>
      <w:commentRangeEnd w:id="0"/>
      <w:r>
        <w:rPr>
          <w:rStyle w:val="CommentReference"/>
        </w:rPr>
        <w:commentReference w:id="0"/>
      </w:r>
    </w:p>
    <w:p>
      <w:pPr>
        <w:spacing w:before="60" w:after="60"/>
      </w:pPr>
    </w:p>
    <w:p>
      <w:pPr>
        <w:pStyle w:val="ListParagraph"/>
        <w:numPr>
          <w:ilvl w:val="0"/>
          <w:numId w:val="3"/>
        </w:numPr>
        <w:spacing w:before="40" w:after="40"/>
      </w:pPr>
      <w:commentRangeStart w:id="1"/>
      <w:r>
        <w:rPr>
          <w:rFonts w:ascii="Arial" w:cs="Arial" w:eastAsia="Arial" w:hAnsi="Arial"/>
          <w:sz w:val="22"/>
          <w:szCs w:val="22"/>
        </w:rPr>
        <w:t xml:space="preserve">A current baseline configuration of the information systems and its components shall be developed, documented and maintained.</w:t>
      </w:r>
      <w:commentRangeEnd w:id="1"/>
      <w:r>
        <w:rPr>
          <w:rStyle w:val="CommentReference"/>
        </w:rPr>
        <w:commentReference w:id="1"/>
      </w:r>
    </w:p>
    <w:p>
      <w:pPr>
        <w:pStyle w:val="ListParagraph"/>
        <w:numPr>
          <w:ilvl w:val="0"/>
          <w:numId w:val="3"/>
        </w:numPr>
        <w:spacing w:before="40" w:after="40"/>
      </w:pPr>
      <w:commentRangeStart w:id="2"/>
      <w:r>
        <w:rPr>
          <w:rFonts w:ascii="Arial" w:cs="Arial" w:eastAsia="Arial" w:hAnsi="Arial"/>
          <w:sz w:val="22"/>
          <w:szCs w:val="22"/>
        </w:rPr>
        <w:t xml:space="preserve">The baseline configuration of the information systems shall be updated as an integral part of the information system component installation.</w:t>
      </w:r>
      <w:commentRangeEnd w:id="2"/>
      <w:r>
        <w:rPr>
          <w:rStyle w:val="CommentReference"/>
        </w:rPr>
        <w:commentReference w:id="2"/>
      </w:r>
    </w:p>
    <w:p>
      <w:pPr>
        <w:pStyle w:val="ListParagraph"/>
        <w:numPr>
          <w:ilvl w:val="0"/>
          <w:numId w:val="3"/>
        </w:numPr>
        <w:spacing w:before="40" w:after="40"/>
      </w:pPr>
      <w:commentRangeStart w:id="3"/>
      <w:r>
        <w:rPr>
          <w:rFonts w:ascii="Arial" w:cs="Arial" w:eastAsia="Arial" w:hAnsi="Arial"/>
          <w:sz w:val="22"/>
          <w:szCs w:val="22"/>
        </w:rPr>
        <w:t xml:space="preserve">Changes to the information system shall be authorized, documented, and controlled by the use of formal change control procedures.</w:t>
      </w:r>
      <w:commentRangeEnd w:id="3"/>
      <w:r>
        <w:rPr>
          <w:rStyle w:val="CommentReference"/>
        </w:rPr>
        <w:commentReference w:id="3"/>
      </w:r>
    </w:p>
    <w:p>
      <w:pPr>
        <w:pStyle w:val="ListParagraph"/>
        <w:numPr>
          <w:ilvl w:val="0"/>
          <w:numId w:val="3"/>
        </w:numPr>
        <w:spacing w:before="40" w:after="40"/>
      </w:pPr>
      <w:commentRangeStart w:id="4"/>
      <w:r>
        <w:rPr>
          <w:rFonts w:ascii="Arial" w:cs="Arial" w:eastAsia="Arial" w:hAnsi="Arial"/>
          <w:sz w:val="22"/>
          <w:szCs w:val="22"/>
        </w:rPr>
        <w:t xml:space="preserve">Changes in the configuration of the information systems shall be monitored.</w:t>
      </w:r>
      <w:commentRangeEnd w:id="4"/>
      <w:r>
        <w:rPr>
          <w:rStyle w:val="CommentReference"/>
        </w:rPr>
        <w:commentReference w:id="4"/>
      </w:r>
    </w:p>
    <w:p>
      <w:pPr>
        <w:pStyle w:val="ListParagraph"/>
        <w:numPr>
          <w:ilvl w:val="0"/>
          <w:numId w:val="3"/>
        </w:numPr>
        <w:spacing w:before="40" w:after="40"/>
      </w:pPr>
      <w:commentRangeStart w:id="5"/>
      <w:r>
        <w:rPr>
          <w:rFonts w:ascii="Arial" w:cs="Arial" w:eastAsia="Arial" w:hAnsi="Arial"/>
          <w:sz w:val="22"/>
          <w:szCs w:val="22"/>
        </w:rPr>
        <w:t xml:space="preserve">Automatic tools shall be employed (wherever possible) to initiate changes/change requests, to notify the appropriate approval authority, and to record the approval and implementation details.</w:t>
      </w:r>
      <w:commentRangeEnd w:id="5"/>
      <w:r>
        <w:rPr>
          <w:rStyle w:val="CommentReference"/>
        </w:rPr>
        <w:commentReference w:id="5"/>
      </w:r>
    </w:p>
    <w:p>
      <w:pPr>
        <w:pStyle w:val="ListParagraph"/>
        <w:numPr>
          <w:ilvl w:val="0"/>
          <w:numId w:val="3"/>
        </w:numPr>
        <w:spacing w:before="40" w:after="40"/>
      </w:pPr>
      <w:commentRangeStart w:id="6"/>
      <w:r>
        <w:rPr>
          <w:rFonts w:ascii="Arial" w:cs="Arial" w:eastAsia="Arial" w:hAnsi="Arial"/>
          <w:sz w:val="22"/>
          <w:szCs w:val="22"/>
        </w:rPr>
        <w:t xml:space="preserve">Changes to application and system infrastructure are developed and tested in a separate development or test environment before implementation.</w:t>
      </w:r>
      <w:commentRangeEnd w:id="6"/>
      <w:r>
        <w:rPr>
          <w:rStyle w:val="CommentReference"/>
        </w:rPr>
        <w:commentReference w:id="6"/>
      </w:r>
    </w:p>
    <w:p>
      <w:pPr>
        <w:pStyle w:val="ListParagraph"/>
        <w:numPr>
          <w:ilvl w:val="0"/>
          <w:numId w:val="3"/>
        </w:numPr>
        <w:spacing w:before="40" w:after="40"/>
      </w:pPr>
      <w:r>
        <w:rPr>
          <w:rFonts w:ascii="Arial" w:cs="Arial" w:eastAsia="Arial" w:hAnsi="Arial"/>
          <w:sz w:val="22"/>
          <w:szCs w:val="22"/>
        </w:rPr>
        <w:t xml:space="preserve">Changes that can’t follow the regular process because of their urgency (such as service outage) shall be considered as emergency changes and require immediate priority.</w:t>
      </w:r>
    </w:p>
    <w:p>
      <w:pPr>
        <w:pStyle w:val="ListParagraph"/>
        <w:numPr>
          <w:ilvl w:val="0"/>
          <w:numId w:val="3"/>
        </w:numPr>
        <w:spacing w:before="40" w:after="40"/>
      </w:pPr>
      <w:r>
        <w:rPr>
          <w:rFonts w:ascii="Arial" w:cs="Arial" w:eastAsia="Arial" w:hAnsi="Arial"/>
          <w:sz w:val="22"/>
          <w:szCs w:val="22"/>
        </w:rPr>
        <w:t xml:space="preserve">Changes that are a normal administrative function or process within a system can be classified as standard changes.</w:t>
      </w:r>
    </w:p>
    <w:p>
      <w:pPr>
        <w:pStyle w:val="ListParagraph"/>
        <w:numPr>
          <w:ilvl w:val="0"/>
          <w:numId w:val="3"/>
        </w:numPr>
        <w:spacing w:before="40" w:after="40"/>
      </w:pPr>
      <w:r>
        <w:rPr>
          <w:rFonts w:ascii="Arial" w:cs="Arial" w:eastAsia="Arial" w:hAnsi="Arial"/>
          <w:sz w:val="22"/>
          <w:szCs w:val="22"/>
        </w:rPr>
        <w:t xml:space="preserve">Changes affecting customers in a significant manner shall be formally communicated to them prior to change implementation.</w:t>
      </w:r>
    </w:p>
    <w:p>
      <w:pPr>
        <w:spacing w:before="60" w:after="60"/>
      </w:pPr>
    </w:p>
    <w:p>
      <w:pPr>
        <w:pStyle w:val="Heading2"/>
        <w:spacing w:before="200" w:after="100"/>
      </w:pPr>
      <w:r>
        <w:rPr>
          <w:rFonts w:ascii="Arial" w:cs="Arial" w:eastAsia="Arial" w:hAnsi="Arial"/>
          <w:b/>
          <w:bCs/>
          <w:sz w:val="24"/>
          <w:szCs w:val="24"/>
        </w:rPr>
        <w:t xml:space="preserve">Change Approval and Implementation</w:t>
      </w:r>
    </w:p>
    <w:p>
      <w:pPr>
        <w:spacing w:before="60" w:after="60"/>
      </w:pPr>
    </w:p>
    <w:p>
      <w:pPr>
        <w:spacing w:before="60" w:after="60"/>
      </w:pPr>
      <w:commentRangeStart w:id="8"/>
      <w:r>
        <w:rPr>
          <w:rFonts w:ascii="Arial" w:cs="Arial" w:eastAsia="Arial" w:hAnsi="Arial"/>
          <w:sz w:val="22"/>
          <w:szCs w:val="22"/>
        </w:rPr>
        <w:t xml:space="preserve">Developers do not make changes to application code in the production environment without additional approval. Code repository branch rules have been configured to ensure that every merge request to the production environment requires additional approval. Changes shall be approved formally prior to commencing the change or development, and prior to implementing the fully tested change into the live environment.</w:t>
      </w:r>
      <w:commentRangeEnd w:id="8"/>
      <w:r>
        <w:rPr>
          <w:rStyle w:val="CommentReference"/>
        </w:rPr>
        <w:commentReference w:id="8"/>
      </w:r>
    </w:p>
    <w:p>
      <w:pPr>
        <w:spacing w:before="60" w:after="60"/>
      </w:pPr>
    </w:p>
    <w:p>
      <w:pPr>
        <w:spacing w:before="60" w:after="60"/>
      </w:pPr>
      <w:commentRangeStart w:id="10"/>
      <w:commentRangeStart w:id="9"/>
      <w:r>
        <w:rPr>
          <w:rFonts w:ascii="Arial" w:cs="Arial" w:eastAsia="Arial" w:hAnsi="Arial"/>
          <w:sz w:val="22"/>
          <w:szCs w:val="22"/>
        </w:rPr>
        <w:t xml:space="preserve">Source code changes are logged, time-stamped, and attributed to their author in a source code management tool. Access to the source code tool is restricted to authorized users using multi-factor authentication.</w:t>
      </w:r>
      <w:commentRangeEnd w:id="9"/>
      <w:r>
        <w:rPr>
          <w:rStyle w:val="CommentReference"/>
        </w:rPr>
        <w:commentReference w:id="9"/>
      </w:r>
      <w:commentRangeEnd w:id="10"/>
      <w:r>
        <w:rPr>
          <w:rStyle w:val="CommentReference"/>
        </w:rPr>
        <w:commentReference w:id="10"/>
      </w:r>
    </w:p>
    <w:p>
      <w:pPr>
        <w:spacing w:before="60" w:after="60"/>
      </w:pPr>
    </w:p>
    <w:p>
      <w:pPr>
        <w:spacing w:before="60" w:after="60"/>
      </w:pPr>
      <w:commentRangeStart w:id="11"/>
      <w:r>
        <w:rPr>
          <w:rFonts w:ascii="Arial" w:cs="Arial" w:eastAsia="Arial" w:hAnsi="Arial"/>
          <w:sz w:val="22"/>
          <w:szCs w:val="22"/>
        </w:rPr>
        <w:t xml:space="preserve">All changes shall be formally assigned to the designated representative for authorization who can approve or disapprove the change depending upon the impact on business services.</w:t>
      </w:r>
      <w:commentRangeEnd w:id="11"/>
      <w:r>
        <w:rPr>
          <w:rStyle w:val="CommentReference"/>
        </w:rPr>
        <w:commentReference w:id="11"/>
      </w:r>
    </w:p>
    <w:p>
      <w:pPr>
        <w:spacing w:before="60" w:after="60"/>
      </w:pPr>
    </w:p>
    <w:p>
      <w:pPr>
        <w:pStyle w:val="Heading3"/>
        <w:spacing w:before="160" w:after="80"/>
      </w:pPr>
      <w:r>
        <w:rPr>
          <w:rFonts w:ascii="Arial" w:cs="Arial" w:eastAsia="Arial" w:hAnsi="Arial"/>
          <w:b/>
          <w:bCs/>
          <w:sz w:val="22"/>
          <w:szCs w:val="22"/>
        </w:rPr>
        <w:t xml:space="preserve">Communication of Change</w:t>
      </w:r>
    </w:p>
    <w:p>
      <w:pPr>
        <w:spacing w:before="60" w:after="60"/>
      </w:pPr>
    </w:p>
    <w:p>
      <w:pPr>
        <w:spacing w:before="60" w:after="60"/>
      </w:pPr>
      <w:commentRangeStart w:id="12"/>
      <w:r>
        <w:rPr>
          <w:rFonts w:ascii="Arial" w:cs="Arial" w:eastAsia="Arial" w:hAnsi="Arial"/>
          <w:sz w:val="22"/>
          <w:szCs w:val="22"/>
        </w:rPr>
        <w:t xml:space="preserve">A communication procedure is maintained that describes how employees and customers are notified of a potential application outage, planned or unplanned downtime, changes to application and its functionality, security events and major releases.</w:t>
      </w:r>
      <w:commentRangeEnd w:id="12"/>
      <w:r>
        <w:rPr>
          <w:rStyle w:val="CommentReference"/>
        </w:rPr>
        <w:commentReference w:id="12"/>
      </w:r>
    </w:p>
    <w:p>
      <w:pPr>
        <w:spacing w:before="60" w:after="60"/>
      </w:pPr>
    </w:p>
    <w:p>
      <w:pPr>
        <w:spacing w:before="60" w:after="60"/>
      </w:pPr>
      <w:commentRangeStart w:id="13"/>
      <w:r>
        <w:rPr>
          <w:rFonts w:ascii="Arial" w:cs="Arial" w:eastAsia="Arial" w:hAnsi="Arial"/>
          <w:sz w:val="22"/>
          <w:szCs w:val="22"/>
        </w:rPr>
        <w:t xml:space="preserve">Internal and external system users are notified through email or internal communication tool for releases prior to system changes which will affect job responsibilities and commitments to the customers.</w:t>
      </w:r>
      <w:commentRangeEnd w:id="13"/>
      <w:r>
        <w:rPr>
          <w:rStyle w:val="CommentReference"/>
        </w:rPr>
        <w:commentReference w:id="13"/>
      </w:r>
    </w:p>
    <w:p>
      <w:pPr>
        <w:spacing w:before="60" w:after="60"/>
      </w:pPr>
    </w:p>
    <w:p>
      <w:pPr>
        <w:pStyle w:val="Heading3"/>
        <w:spacing w:before="160" w:after="80"/>
      </w:pPr>
      <w:r>
        <w:rPr>
          <w:rFonts w:ascii="Arial" w:cs="Arial" w:eastAsia="Arial" w:hAnsi="Arial"/>
          <w:b/>
          <w:bCs/>
          <w:sz w:val="22"/>
          <w:szCs w:val="22"/>
        </w:rPr>
        <w:t xml:space="preserve">Post-Implementation Review</w:t>
      </w:r>
    </w:p>
    <w:p>
      <w:pPr>
        <w:spacing w:before="60" w:after="60"/>
      </w:pPr>
    </w:p>
    <w:p>
      <w:pPr>
        <w:spacing w:before="60" w:after="60"/>
      </w:pPr>
      <w:commentRangeStart w:id="14"/>
      <w:r>
        <w:rPr>
          <w:rFonts w:ascii="Arial" w:cs="Arial" w:eastAsia="Arial" w:hAnsi="Arial"/>
          <w:sz w:val="22"/>
          <w:szCs w:val="22"/>
        </w:rPr>
        <w:t xml:space="preserve">Once a change has been implemented, it is important that the situation is reviewed to identify any problems that could be prevented in the future or improvements that could be made. Meetings shall be scheduled on a periodic basis to discuss high and medium impact changes and their status (“successful” or “unsuccessful”).</w:t>
      </w:r>
      <w:commentRangeEnd w:id="14"/>
      <w:r>
        <w:rPr>
          <w:rStyle w:val="CommentReference"/>
        </w:rPr>
        <w:commentReference w:id="14"/>
      </w:r>
    </w:p>
    <w:p>
      <w:pPr>
        <w:spacing w:before="60" w:after="60"/>
      </w:pPr>
    </w:p>
    <w:p>
      <w:pPr>
        <w:spacing w:before="60" w:after="60"/>
      </w:pPr>
      <w:commentRangeStart w:id="15"/>
      <w:r>
        <w:rPr>
          <w:rFonts w:ascii="Arial" w:cs="Arial" w:eastAsia="Arial" w:hAnsi="Arial"/>
          <w:sz w:val="22"/>
          <w:szCs w:val="22"/>
        </w:rPr>
        <w:t xml:space="preserve">Post-implementation reviews shall be performed to evaluate whether the desired result has been achieved. In the event a change does not perform as expected or causes issues to one or more areas of the production environment, the attendees of the change meeting will determine if the change should be removed and the production environment returned to its prior stable state.</w:t>
      </w:r>
      <w:commentRangeEnd w:id="15"/>
      <w:r>
        <w:rPr>
          <w:rStyle w:val="CommentReference"/>
        </w:rPr>
        <w:commentReference w:id="15"/>
      </w:r>
    </w:p>
    <w:p>
      <w:pPr>
        <w:spacing w:before="60" w:after="60"/>
      </w:pPr>
    </w:p>
    <w:p>
      <w:pPr>
        <w:spacing w:before="60" w:after="60"/>
      </w:pPr>
      <w:r>
        <w:rPr>
          <w:rFonts w:ascii="Arial" w:cs="Arial" w:eastAsia="Arial" w:hAnsi="Arial"/>
          <w:sz w:val="22"/>
          <w:szCs w:val="22"/>
        </w:rPr>
        <w:t xml:space="preserve">###  **Denials**</w:t>
      </w:r>
    </w:p>
    <w:p>
      <w:pPr>
        <w:spacing w:before="60" w:after="60"/>
      </w:pPr>
    </w:p>
    <w:p>
      <w:pPr>
        <w:spacing w:before="60" w:after="60"/>
      </w:pPr>
      <w:commentRangeStart w:id="16"/>
      <w:r>
        <w:rPr>
          <w:rFonts w:ascii="Arial" w:cs="Arial" w:eastAsia="Arial" w:hAnsi="Arial"/>
          <w:sz w:val="22"/>
          <w:szCs w:val="22"/>
        </w:rPr>
        <w:t xml:space="preserve">The business owner/change advisory board or their designee may deny a scheduled or unscheduled change for unreasonable changes like inadequate change planning or unit testing, lack of stakeholder acceptance (where applicable), system integration, interoperability concerns, missing or deficient roll-back plans, security implications and risks, timing of the change negatively impacting key business processes, timeframes not aligning with resource scheduling (e.g. late-night, weekends, holidays, etc.</w:t>
      </w:r>
      <w:commentRangeEnd w:id="16"/>
      <w:r>
        <w:rPr>
          <w:rStyle w:val="CommentReference"/>
        </w:rPr>
        <w:commentReference w:id="16"/>
      </w:r>
    </w:p>
    <w:p>
      <w:pPr>
        <w:spacing w:before="60" w:after="60"/>
      </w:pPr>
    </w:p>
    <w:p>
      <w:pPr>
        <w:pStyle w:val="Heading3"/>
        <w:spacing w:before="160" w:after="80"/>
      </w:pPr>
      <w:r>
        <w:rPr>
          <w:rFonts w:ascii="Arial" w:cs="Arial" w:eastAsia="Arial" w:hAnsi="Arial"/>
          <w:b/>
          <w:bCs/>
          <w:sz w:val="22"/>
          <w:szCs w:val="22"/>
        </w:rPr>
        <w:t xml:space="preserve">Emergency Changes</w:t>
      </w:r>
    </w:p>
    <w:p>
      <w:pPr>
        <w:spacing w:before="60" w:after="60"/>
      </w:pPr>
    </w:p>
    <w:p>
      <w:pPr>
        <w:spacing w:before="60" w:after="60"/>
      </w:pPr>
      <w:r>
        <w:rPr>
          <w:rFonts w:ascii="Arial" w:cs="Arial" w:eastAsia="Arial" w:hAnsi="Arial"/>
          <w:sz w:val="22"/>
          <w:szCs w:val="22"/>
        </w:rPr>
        <w:t xml:space="preserve">Changes that can not follow the regular process because of their urgency (such as service outage) shall be considered as emergency changes and require immediate attention and need to be implemented quickly in order to avoid disruption.</w:t>
      </w:r>
    </w:p>
    <w:p>
      <w:pPr>
        <w:spacing w:before="60" w:after="60"/>
      </w:pPr>
    </w:p>
    <w:p>
      <w:pPr>
        <w:spacing w:before="60" w:after="60"/>
      </w:pPr>
      <w:r>
        <w:rPr>
          <w:rFonts w:ascii="Arial" w:cs="Arial" w:eastAsia="Arial" w:hAnsi="Arial"/>
          <w:sz w:val="22"/>
          <w:szCs w:val="22"/>
        </w:rPr>
        <w:t xml:space="preserve">Approvals shall be obtained for such changes in the form of discussing the matter with a relevant service manager. Such changes shall be assessed and formally approved retrospectively. In addition, such changes shall be discussed in periodic meetings for analysis on lessons learned, root cause, impact, and status.</w:t>
      </w:r>
    </w:p>
    <w:p>
      <w:pPr>
        <w:spacing w:before="60" w:after="60"/>
      </w:pPr>
    </w:p>
    <w:p>
      <w:pPr>
        <w:pStyle w:val="Heading3"/>
        <w:spacing w:before="160" w:after="80"/>
      </w:pPr>
      <w:r>
        <w:rPr>
          <w:rFonts w:ascii="Arial" w:cs="Arial" w:eastAsia="Arial" w:hAnsi="Arial"/>
          <w:b/>
          <w:bCs/>
          <w:sz w:val="22"/>
          <w:szCs w:val="22"/>
        </w:rPr>
        <w:t xml:space="preserve">Standard Changes and Patching</w:t>
      </w:r>
    </w:p>
    <w:p>
      <w:pPr>
        <w:spacing w:before="60" w:after="60"/>
      </w:pPr>
    </w:p>
    <w:p>
      <w:pPr>
        <w:spacing w:before="60" w:after="60"/>
      </w:pPr>
      <w:r>
        <w:rPr>
          <w:rFonts w:ascii="Arial" w:cs="Arial" w:eastAsia="Arial" w:hAnsi="Arial"/>
          <w:sz w:val="22"/>
          <w:szCs w:val="22"/>
        </w:rPr>
        <w:t xml:space="preserve">Standard changes (also called “routine changes”) tend to be pre-authorized changes that are considered to have little to no risk associated with them. These changes are already pre-approved by IT/Engineering Management so they can be executed by creating a ticket but without following the change management approval workflow (for example, applying security patches).</w:t>
      </w:r>
    </w:p>
    <w:p>
      <w:pPr>
        <w:spacing w:before="60" w:after="60"/>
      </w:pPr>
    </w:p>
    <w:p>
      <w:pPr>
        <w:spacing w:before="60" w:after="60"/>
      </w:pPr>
      <w:commentRangeStart w:id="18"/>
      <w:r>
        <w:rPr>
          <w:rFonts w:ascii="Arial" w:cs="Arial" w:eastAsia="Arial" w:hAnsi="Arial"/>
          <w:sz w:val="22"/>
          <w:szCs w:val="22"/>
        </w:rPr>
        <w:t xml:space="preserve">All systems shall be patched and updated on a documented, regular, and timely schedule. Common Vulnerability Scoring System (CVSS) is recommended to be used to aid in setting patching guidelines.</w:t>
      </w:r>
      <w:commentRangeEnd w:id="18"/>
      <w:r>
        <w:rPr>
          <w:rStyle w:val="CommentReference"/>
        </w:rPr>
        <w:commentReference w:id="18"/>
      </w:r>
    </w:p>
    <w:p>
      <w:pPr>
        <w:spacing w:before="60" w:after="60"/>
      </w:pPr>
    </w:p>
    <w:p>
      <w:pPr>
        <w:spacing w:before="60" w:after="60"/>
      </w:pPr>
      <w:commentRangeStart w:id="19"/>
      <w:r>
        <w:rPr>
          <w:rFonts w:ascii="Arial" w:cs="Arial" w:eastAsia="Arial" w:hAnsi="Arial"/>
          <w:sz w:val="22"/>
          <w:szCs w:val="22"/>
        </w:rPr>
        <w:t xml:space="preserve">Applicable critical vendor-supplied security patches shall be applied within a defined timeframe after release and shall include installation of all other applicable vendor-supplied security patches as per the defined patching schedule. In addition to the patching guidelines, vulnerabilities and exploitable findings deemed critical by PolicyLift, regardless of CVSS score, must be patched as soon as possible.</w:t>
      </w:r>
      <w:commentRangeEnd w:id="19"/>
      <w:r>
        <w:rPr>
          <w:rStyle w:val="CommentReference"/>
        </w:rPr>
        <w:commentReference w:id="19"/>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comment w:id="0" w:author="PolicyLift Reviewer" w:date="2026-02-10T01:43:25Z" w:initials="PR">
    <w:p w14:paraId="61784FBD" w14:textId="77777777">
      <w:r>
        <w:rPr>
          <w:rStyle w:val="CommentReference"/>
        </w:rPr>
        <w:annotationRef/>
      </w:r>
      <w:r>
        <w:rPr>
          <w:color w:val="000000"/>
          <w:sz w:val="20"/>
          <w:szCs w:val="20"/>
        </w:rPr>
        <w:t>[COMMITMENT] — Establish Formal Change Control Process
What this says: All changes to information resources must be managed through a formal change control process that includes review, authorization, testing, implementation, and monitoring.
Why it matters: Uncontrolled changes are a leading cause of outages and security incidents. A formal process ensures visibility into what’s changing, who approved it, whether it was tested, and whether it caused problems. This is a core SOC 2 requirement.
Recommendation: Implement a lightweight change control process for PolicyLift: (1) Change ticket in Jira/Azure DevOps, (2) Testing in dev/test environment, (3) CTO approval for production, (4) Deployment with rollback plan, (5) Status check 24 hours post-deploy. Document the process in a 1-page runbook. Automate approval notifications where possible.</w:t>
      </w:r>
    </w:p>
  </w:comment>
  <w:comment w:id="1" w:author="PolicyLift Reviewer" w:date="2026-02-10T01:43:25Z" w:initials="PR">
    <w:p w14:paraId="0B2C5A12" w14:textId="77777777">
      <w:r>
        <w:rPr>
          <w:rStyle w:val="CommentReference"/>
        </w:rPr>
        <w:annotationRef/>
      </w:r>
      <w:r>
        <w:rPr>
          <w:color w:val="000000"/>
          <w:sz w:val="20"/>
          <w:szCs w:val="20"/>
        </w:rPr>
        <w:t>[COMMITMENT] — Develop and Maintain Baseline Configuration
What this says: PolicyLift must develop, document, and maintain a current baseline configuration of all information systems and their components.
Why it matters: A baseline documents what ’normal’ looks like. Without it, you can’t detect unauthorized changes, security drift, or misconfigurations. For a small team, this might be a simple spreadsheet; for SOC 2, you need proof it exists and is maintained.
Recommendation: Create a baseline configuration inventory documenting: (1) All deployed services (API, portal, data processing), (2) OS and library versions, (3) Security settings (encryption, MFA, TLS versions), (4) Database schemas and user accounts. Store in a version-controlled document. Update whenever a change is implemented. Assign the CTO as owner.</w:t>
      </w:r>
    </w:p>
  </w:comment>
  <w:comment w:id="2" w:author="PolicyLift Reviewer" w:date="2026-02-10T01:43:25Z" w:initials="PR">
    <w:p w14:paraId="55086A87" w14:textId="77777777">
      <w:r>
        <w:rPr>
          <w:rStyle w:val="CommentReference"/>
        </w:rPr>
        <w:annotationRef/>
      </w:r>
      <w:r>
        <w:rPr>
          <w:color w:val="000000"/>
          <w:sz w:val="20"/>
          <w:szCs w:val="20"/>
        </w:rPr>
        <w:t>[PROCESS] — Update Baseline Configuration After Each Change
What this says: The baseline configuration must be updated as an integral part of each system component installation or change.
Why it matters: A stale baseline is nearly useless—it won’t match actual systems, making it impossible to audit compliance or detect drift. By updating it with each change, you maintain a living record of your environment.
Recommendation: Make baseline configuration updates part of the change closure checklist. For example, when a new library version is deployed, the change ticket must include a note: ’Baseline updated: libX upgraded from v2.0 to v2.1.’ Use a simple template in your change management tool to ensure this happens.</w:t>
      </w:r>
    </w:p>
  </w:comment>
  <w:comment w:id="3" w:author="PolicyLift Reviewer" w:date="2026-02-10T01:43:25Z" w:initials="PR">
    <w:p w14:paraId="0BFAA155" w14:textId="77777777">
      <w:r>
        <w:rPr>
          <w:rStyle w:val="CommentReference"/>
        </w:rPr>
        <w:annotationRef/>
      </w:r>
      <w:r>
        <w:rPr>
          <w:color w:val="000000"/>
          <w:sz w:val="20"/>
          <w:szCs w:val="20"/>
        </w:rPr>
        <w:t>[PROCESS] — Authorize and Document All Changes Formally
What this says: All changes must be authorized, documented, and controlled through formal change control procedures.
Why it matters: Without formal authorization, you can’t prove who approved a change or that it met security/business requirements. This is essential for SOC 2 audits—auditors will ask to see change approvals.
Recommendation: For PolicyLift, define a simple authorization matrix: (1) Standard changes (security patches, dependency updates, minor bug fixes) approved by CTO, (2) High-impact changes (database schema, API endpoints, customer-facing features) approved by CTO and CEO, (3) Emergency changes approved by whoever is on-call and documented retroactively. Store approval evidence (email, ticket comments, screenshots) for 2+ years.</w:t>
      </w:r>
    </w:p>
  </w:comment>
  <w:comment w:id="4" w:author="PolicyLift Reviewer" w:date="2026-02-10T01:43:25Z" w:initials="PR">
    <w:p w14:paraId="1BB586DF" w14:textId="77777777">
      <w:r>
        <w:rPr>
          <w:rStyle w:val="CommentReference"/>
        </w:rPr>
        <w:annotationRef/>
      </w:r>
      <w:r>
        <w:rPr>
          <w:color w:val="000000"/>
          <w:sz w:val="20"/>
          <w:szCs w:val="20"/>
        </w:rPr>
        <w:t>[PROCESS] — Monitor Changes to Information System Configuration
What this says: Changes to information system configuration must be monitored.
Why it matters: Monitoring ensures that approved changes are actually implemented as planned, and that no unauthorized changes slip in. It’s also a control point to catch mistakes early.
Recommendation: Use version control (Git) as your primary change monitoring tool—every code change is tracked, timestamped, and attributed. For infrastructure/configuration changes (Supabase settings, DNS records, IAM policies), document them in your baseline inventory and take screenshots. Assign the CTO to review configuration changes weekly. Set up Supabase alerts for critical configuration changes (e.g., IP whitelist modifications).</w:t>
      </w:r>
    </w:p>
  </w:comment>
  <w:comment w:id="5" w:author="PolicyLift Reviewer" w:date="2026-02-10T01:43:25Z" w:initials="PR">
    <w:p w14:paraId="17ABB19C" w14:textId="77777777">
      <w:r>
        <w:rPr>
          <w:rStyle w:val="CommentReference"/>
        </w:rPr>
        <w:annotationRef/>
      </w:r>
      <w:r>
        <w:rPr>
          <w:color w:val="000000"/>
          <w:sz w:val="20"/>
          <w:szCs w:val="20"/>
        </w:rPr>
        <w:t>[COMMITMENT] — Automate Change Request and Approval Workflows
What this says: Automatic tools should be used wherever possible to initiate change requests, notify approval authorities, and record approval/implementation details.
Why it matters: Automation reduces manual errors, ensures consistent follow-up, and creates an audit trail. It also saves time for a small team that can’t afford a dedicated change manager.
Recommendation: Use Git branch rules to enforce approval workflows (e.g., require 2 approvals before merge to main). Set up Slack/email notifications when a pull request is opened or needs approval. Use your project management tool (Jira/Azure DevOps) to auto-notify the CTO when a change ticket reaches ’Ready for Approval’ state. Track all automation in your change process documentation.</w:t>
      </w:r>
    </w:p>
  </w:comment>
  <w:comment w:id="6" w:author="PolicyLift Reviewer" w:date="2026-02-10T01:43:25Z" w:initials="PR">
    <w:p w14:paraId="67AFB18F" w14:textId="77777777">
      <w:r>
        <w:rPr>
          <w:rStyle w:val="CommentReference"/>
        </w:rPr>
        <w:annotationRef/>
      </w:r>
      <w:r>
        <w:rPr>
          <w:color w:val="000000"/>
          <w:sz w:val="20"/>
          <w:szCs w:val="20"/>
        </w:rPr>
        <w:t>[COMMITMENT] — Deploy Changes to Dev/Test Before Production
What this says: Changes to application and system infrastructure must be developed and tested in a separate development or test environment before production implementation.
Why it matters: Testing in a non-production environment catches bugs, performance issues, and security problems before they impact customers. This is a foundational control and a SOC 2 requirement.
Why it matters for PolicyLift: With 4 offshore developers, testing ensures consistency and quality regardless of who wrote the code. A failed production deployment could disrupt insurance policy workflows—unacceptable for a regulated insurtech company.
Recommendation: Maintain a dev environment that mirrors production (same OS, database version, library versions). Require all code changes to have green tests in dev before CTO reviews. Document the dev environment setup in a runbook so offshore devs can replicate it. Test database migrations in a copy of production data (with PII redacted) before applying to production.</w:t>
      </w:r>
    </w:p>
  </w:comment>
  <w:comment w:id="7" w:author="PolicyLift Reviewer" w:date="2026-02-10T01:43:25Z" w:initials="PR">
    <w:p w14:paraId="5A4B2ED4" w14:textId="77777777">
      <w:r>
        <w:rPr>
          <w:rStyle w:val="CommentReference"/>
        </w:rPr>
        <w:annotationRef/>
      </w:r>
      <w:r>
        <w:rPr>
          <w:color w:val="000000"/>
          <w:sz w:val="20"/>
          <w:szCs w:val="20"/>
        </w:rPr>
        <w:t>[DECISION NEEDED] — Define Emergency Change Process and Thresholds
What this says: Changes required due to urgency (e.g., service outages) are classified as emergency changes, require immediate implementation, and must be formally approved retroactively with post-incident review.
Why it matters: Sometimes you can’t wait for normal change approval (e.g., database is down, customer data is being corrupted). But without clear rules, ’emergency’ can become an excuse to skip controls. For SOC 2, you need to show emergency changes are rare, documented, and reviewed afterward.
Recommendation: Define PolicyLift’s emergency threshold: e.g., ’changes may be implemented immediately if the production system is completely unavailable and no data is being corrupted.’ Examples: deploying a hotfix for a downed API, rolling back a bad deployment, temporarily increasing database resources. Require approval from whoever is on-call (CTO or Head of Operations). Document the change, impact, and reason in Slack/ticket immediately. Review at next team meeting. Aim for zero emergency changes—they indicate gaps in testing or monitoring.</w:t>
      </w:r>
    </w:p>
  </w:comment>
  <w:comment w:id="8" w:author="PolicyLift Reviewer" w:date="2026-02-10T01:43:25Z" w:initials="PR">
    <w:p w14:paraId="242277EE" w14:textId="77777777">
      <w:r>
        <w:rPr>
          <w:rStyle w:val="CommentReference"/>
        </w:rPr>
        <w:annotationRef/>
      </w:r>
      <w:r>
        <w:rPr>
          <w:color w:val="000000"/>
          <w:sz w:val="20"/>
          <w:szCs w:val="20"/>
        </w:rPr>
        <w:t>[COMMITMENT] — Require Additional Approval for Production Changes
What this says: Developers must not make changes to application code in production without additional approval. Code repository branch rules require additional approval for all merge requests to production.
Why it matters: Direct production changes bypass testing and approvals, creating huge risk. Branch protection rules enforce this technically—no developer can push directly to main/production, no matter their intentions. This is both a preventive control and evidence for SOC 2.
Why it matters for PolicyLift: With 4 offshore developers, this rule ensures the CTO maintains visibility and control. It also prevents timezone issues from causing unreviewed changes to production.
Recommendation: Confirm your Git repository has branch protection enabled: (1) Require pull request review before merge, (2) Require status checks to pass (tests, linting, security scanning), (3) Require approval from CTO or designee, (4) Dismiss stale reviews if new commits are pushed. Document this in your development runbook. Review the rule quarterly to ensure it’s still being followed.</w:t>
      </w:r>
    </w:p>
  </w:comment>
  <w:comment w:id="9" w:author="PolicyLift Reviewer" w:date="2026-02-10T01:43:25Z" w:initials="PR">
    <w:p w14:paraId="27CD2851" w14:textId="77777777">
      <w:r>
        <w:rPr>
          <w:rStyle w:val="CommentReference"/>
        </w:rPr>
        <w:annotationRef/>
      </w:r>
      <w:r>
        <w:rPr>
          <w:color w:val="000000"/>
          <w:sz w:val="20"/>
          <w:szCs w:val="20"/>
        </w:rPr>
        <w:t>[EVIDENCE] — Maintain Source Code Change Log with Timestamps and Author Attribution
What this says: All source code changes must be logged, time-stamped, and attributed to their author in a source code management tool.
Why it matters: The change log proves who made each change and when. This is critical for security investigations (e.g., ’who added this admin account?’), audits, and forensics. Git provides this automatically.
Why it matters for PolicyLift: With 4 offshore developers in different time zones, the change log helps you correlate who was working when and supports investigations if an issue arises.
Recommendation: Ensure commit messages include: (1) What changed, (2) Why it changed, (3) Reference to a ticket/issue. Use a commit template to enforce consistency. Example: ’Fix: Update MFA validation logic (fixes issue #234).’ Configure Git to require author name/email for all commits. Review commit logs monthly for suspicious patterns or large/unexplained changes. Retain Git history for minimum 2 years.</w:t>
      </w:r>
    </w:p>
  </w:comment>
  <w:comment w:id="10" w:author="PolicyLift Reviewer" w:date="2026-02-10T01:43:25Z" w:initials="PR">
    <w:p w14:paraId="5E748E1F" w14:textId="77777777">
      <w:r>
        <w:rPr>
          <w:rStyle w:val="CommentReference"/>
        </w:rPr>
        <w:annotationRef/>
      </w:r>
      <w:r>
        <w:rPr>
          <w:color w:val="000000"/>
          <w:sz w:val="20"/>
          <w:szCs w:val="20"/>
        </w:rPr>
        <w:t>[ROLE] — Restrict Source Code Access and Require MFA
What this says: Access to the source code management tool must be restricted to authorized users and require multi-factor authentication.
Why it matters: Source code is your intellectual property and contains sensitive configuration (API keys, database connection strings). Restricting access prevents unauthorized changes and data theft. MFA prevents account compromise even if a password is stolen.
Recommendation: For PolicyLift’s Git repository: (1) Enable MFA for all accounts (GitHub, GitLab, Azure DevOps), (2) Remove access for anyone who leaves the team, (3) Audit access monthly, (4) Verify that offshore developers’ accounts have MFA enabled, (5) Use strong personal access tokens (if applicable) instead of passwords for CI/CD. Document who has access and their role. Test MFA recovery procedures annually.</w:t>
      </w:r>
    </w:p>
  </w:comment>
  <w:comment w:id="11" w:author="PolicyLift Reviewer" w:date="2026-02-10T01:43:25Z" w:initials="PR">
    <w:p w14:paraId="33C45B51" w14:textId="77777777">
      <w:r>
        <w:rPr>
          <w:rStyle w:val="CommentReference"/>
        </w:rPr>
        <w:annotationRef/>
      </w:r>
      <w:r>
        <w:rPr>
          <w:color w:val="000000"/>
          <w:sz w:val="20"/>
          <w:szCs w:val="20"/>
        </w:rPr>
        <w:t>[ROLE] — Designate Change Approval Authority
What this says: All changes must be formally assigned to a designated representative who can approve or disapprove the change based on its impact on business services.
Why it matters: Clear accountability for change decisions prevents confusion and ensures someone is actively reviewing changes. Without a designate, changes might get stuck or approved by the wrong person.
Why it matters for PolicyLift: With a small team, clear role assignment ensures the CTO (or designee) reviews all production changes, even if they’re busy.
Recommendation: Designate the CTO as primary change approval authority. Designate the Head of Operations as backup/secondary. Document this in your change management policy. For emergency changes, allow on-call developer to approve if CTO unavailable. Create a simple matrix: ’Standard changes: CTO approval; Emergency changes: On-call approval + CTO review within 24 hours; High-impact changes: CTO + CEO approval.’</w:t>
      </w:r>
    </w:p>
  </w:comment>
  <w:comment w:id="12" w:author="PolicyLift Reviewer" w:date="2026-02-10T01:43:25Z" w:initials="PR">
    <w:p w14:paraId="7A570A9A" w14:textId="77777777">
      <w:r>
        <w:rPr>
          <w:rStyle w:val="CommentReference"/>
        </w:rPr>
        <w:annotationRef/>
      </w:r>
      <w:r>
        <w:rPr>
          <w:color w:val="000000"/>
          <w:sz w:val="20"/>
          <w:szCs w:val="20"/>
        </w:rPr>
        <w:t>[PROCESS] — Establish Change Communication Procedure
What this says: A communication procedure must describe how employees and customers are notified of application outages, planned/unplanned downtime, changes to functionality, security events, and major releases.
Why it matters: Customers need to know when services will be unavailable or when features are changing. Lack of communication erodes trust and causes support tickets. For an insurtech company, customers expect transparency about system changes.
Recommendation: Create a simple communication template: (1) Major releases: email + in-app notification 24 hours before, (2) Planned maintenance: email + status page 48 hours before, (3) Unplanned outages: Slack to team immediately, email to customers within 15 min with ETA, (4) Security events: email to CEO/leadership immediately, customer email within 1 hour if customer data is affected. Use a status page tool (e.g., Statuspage.io, Freshstatus) to centralize communications. Document the procedure and SLAs.</w:t>
      </w:r>
    </w:p>
  </w:comment>
  <w:comment w:id="13" w:author="PolicyLift Reviewer" w:date="2026-02-10T01:43:25Z" w:initials="PR">
    <w:p w14:paraId="03306F2A" w14:textId="77777777">
      <w:r>
        <w:rPr>
          <w:rStyle w:val="CommentReference"/>
        </w:rPr>
        <w:annotationRef/>
      </w:r>
      <w:r>
        <w:rPr>
          <w:color w:val="000000"/>
          <w:sz w:val="20"/>
          <w:szCs w:val="20"/>
        </w:rPr>
        <w:t>[PROCESS] — Notify Users of Changes Prior to Implementation
What this says: Both internal and external system users must be notified through email or internal communication tools about changes that will affect job responsibilities and commitments to customers.
Why it matters: Surprise changes cause confusion and support burden. Advance notification gives users time to prepare and reduces helpdesk calls. For internal users, it ensures they understand the business purpose of the change.
Recommendation: For PolicyLift: (1) When deploying major features or UI changes, notify Account Executive and Product Manager 1 week before go-live so they can prepare customer communications, (2) Notify all internal staff (9 people) about infrastructure changes via Slack at least 24 hours before, (3) Notify customers about API changes at least 2 weeks before, (4) Use the communication template from the previous recommendation. Document change window and expected impact (duration, affected features).</w:t>
      </w:r>
    </w:p>
  </w:comment>
  <w:comment w:id="14" w:author="PolicyLift Reviewer" w:date="2026-02-10T01:43:25Z" w:initials="PR">
    <w:p w14:paraId="33BC77CA" w14:textId="77777777">
      <w:r>
        <w:rPr>
          <w:rStyle w:val="CommentReference"/>
        </w:rPr>
        <w:annotationRef/>
      </w:r>
      <w:r>
        <w:rPr>
          <w:color w:val="000000"/>
          <w:sz w:val="20"/>
          <w:szCs w:val="20"/>
        </w:rPr>
        <w:t>[RECURRING] — Conduct Post-Implementation Reviews for High/Medium Impact Changes
What this says: After implementation, reviews must be scheduled periodically to discuss high and medium impact changes, determine if they were successful or unsuccessful, and identify improvements for future changes.
Why it matters: Post-implementation reviews capture lessons learned and improve the process over time. They also verify that changes delivered the intended business value and didn’t cause hidden problems. For SOC 2, you need to show continuous improvement in your change management process.
Recommendation: Schedule a 30-minute change retrospective meeting 1-2 weeks after each high/medium impact change. Attendees: CTO, developer(s) who implemented, affected user (e.g., Account Executive if customer-facing). Discussion points: (1) Did the change work as planned? (2) Were there unexpected side effects? (3) How long did it take to deploy? (4) What would we do differently next time? Document findings and add to a lessons-learned log. For PolicyLift’s small team, batch 2-3 changes into a monthly review meeting.</w:t>
      </w:r>
    </w:p>
  </w:comment>
  <w:comment w:id="15" w:author="PolicyLift Reviewer" w:date="2026-02-10T01:43:25Z" w:initials="PR">
    <w:p w14:paraId="4F0E88A9" w14:textId="77777777">
      <w:r>
        <w:rPr>
          <w:rStyle w:val="CommentReference"/>
        </w:rPr>
        <w:annotationRef/>
      </w:r>
      <w:r>
        <w:rPr>
          <w:color w:val="000000"/>
          <w:sz w:val="20"/>
          <w:szCs w:val="20"/>
        </w:rPr>
        <w:t>[EVIDENCE] — Document Post-Implementation Review Outcomes and Rollback Decisions
What this says: Post-implementation reviews must evaluate whether the desired result was achieved. If a change fails or causes issues, attendees must decide whether to remove the change and restore the prior stable state.
Why it matters: This documents not just that you reviewed changes, but that you made evidence-based decisions. It also ensures rollback procedures are known and tested. For SOC 2, auditors want to see the decision record and justification.
Recommendation: Create a simple post-implementation review template: (1) Change ID and description, (2) Date deployed, (3) Did it achieve intended outcome? (Yes/No), (4) Any issues discovered? (Yes/No, describe), (5) Decision: Keep or rollback? (Keep/Rollback), (6) Reason, (7) Reviewer signature/date. Store completed reviews in a shared folder. Archive for 2 years. Include sample evidence (logs, screenshots, metrics) showing the change was validated.</w:t>
      </w:r>
    </w:p>
  </w:comment>
  <w:comment w:id="16" w:author="PolicyLift Reviewer" w:date="2026-02-10T01:43:25Z" w:initials="PR">
    <w:p w14:paraId="4598F04A" w14:textId="77777777">
      <w:r>
        <w:rPr>
          <w:rStyle w:val="CommentReference"/>
        </w:rPr>
        <w:annotationRef/>
      </w:r>
      <w:r>
        <w:rPr>
          <w:color w:val="000000"/>
          <w:sz w:val="20"/>
          <w:szCs w:val="20"/>
        </w:rPr>
        <w:t>[PROCESS] — Define Criteria for Denying Changes
What this says: The business owner or change advisory board can deny changes if there are inadequate plans, lack of stakeholder acceptance, integration/interoperability concerns, missing rollback plans, security risks, or timing issues.
Why it matters: Not all proposed changes should be approved. Defining denial criteria upfront prevents bad changes from reaching production. It also sets clear expectations for developers about what’s required before a change will be approved.
Recommendation: For PolicyLift, deny changes if: (1) No testing evidence provided, (2) Rollback plan is undefined, (3) Impact on offshore devs or dependencies not assessed, (4) Pen test or security issues not addressed, (5) No customer communication planned if customer-facing, (6) Proposed time conflicts with critical business windows (e.g., month-end closing), (7) CTO has flagged security concerns. Document denial reason and provide constructive feedback on how to resubmit.</w:t>
      </w:r>
    </w:p>
  </w:comment>
  <w:comment w:id="17" w:author="PolicyLift Reviewer" w:date="2026-02-10T01:43:25Z" w:initials="PR">
    <w:p w14:paraId="27FF6807" w14:textId="77777777">
      <w:r>
        <w:rPr>
          <w:rStyle w:val="CommentReference"/>
        </w:rPr>
        <w:annotationRef/>
      </w:r>
      <w:r>
        <w:rPr>
          <w:color w:val="000000"/>
          <w:sz w:val="20"/>
          <w:szCs w:val="20"/>
        </w:rPr>
        <w:t>[PROCESS] — Define and Pre-Authorize Standard Changes
What this says: Standard (routine) changes are pre-authorized changes with low risk that can be executed with a ticket but without requiring full change management workflow.
Why it matters: Requiring full approval for low-risk changes (security patches, dependency updates, documentation fixes) slows the team without adding value. Pre-authorizing them saves time while maintaining control through categories and conditions.
Recommendation: For PolicyLift, pre-authorize: (1) Security patches with CVSS &gt;= 7.0, (2) Dependency version updates without API changes, (3) Bug fixes &lt; 50 lines of code affecting only affected component, (4) Documentation updates, (5) Configuration changes within pre-approved parameters. Conditions: (1) Must have automated tests passing, (2) Must be merged by CTO, (3) Must be tagged with ’standard-change’ in Git. Review pre-authorized changes monthly to ensure they meet low-risk criteria. Escalate to full approval if a standard change causes issues.</w:t>
      </w:r>
    </w:p>
  </w:comment>
  <w:comment w:id="18" w:author="PolicyLift Reviewer" w:date="2026-02-10T01:43:25Z" w:initials="PR">
    <w:p w14:paraId="17269828" w14:textId="77777777">
      <w:r>
        <w:rPr>
          <w:rStyle w:val="CommentReference"/>
        </w:rPr>
        <w:annotationRef/>
      </w:r>
      <w:r>
        <w:rPr>
          <w:color w:val="000000"/>
          <w:sz w:val="20"/>
          <w:szCs w:val="20"/>
        </w:rPr>
        <w:t>[COMMITMENT] — Establish Documented Patching Schedule
What this says: All systems must be patched and updated on a documented, regular, and timely schedule using Common Vulnerability Scoring System (CVSS) to guide prioritization.
Why it matters: Unpatched systems are vulnerable to known exploits. A documented schedule ensures patching happens consistently and on a reasonable timeline. Using CVSS prioritization ensures high-risk patches get applied immediately while lower-risk ones don’t hold up deployment.
Why it matters for PolicyLift: As an insurtech company handling customer data, you’re an attractive target. Regular patching is table-stakes for security. Your annual Delve pen testing will likely find patching issues—get ahead of it.
Recommendation: Document PolicyLift’s patching schedule: (1) Critical patches (CVSS 9-10): Apply within 7 days, (2) High patches (CVSS 7-8): Apply within 30 days, (3) Medium patches (CVSS 4-6): Apply within 90 days, (4) Low patches (CVSS 0-3): Apply quarterly. Include OS patches, application dependencies, and Supabase minor version updates. Automate where possible. Track all patches in a log. Test patches in dev environment first.</w:t>
      </w:r>
    </w:p>
  </w:comment>
  <w:comment w:id="19" w:author="PolicyLift Reviewer" w:date="2026-02-10T01:43:25Z" w:initials="PR">
    <w:p w14:paraId="1168C5C8" w14:textId="77777777">
      <w:r>
        <w:rPr>
          <w:rStyle w:val="CommentReference"/>
        </w:rPr>
        <w:annotationRef/>
      </w:r>
      <w:r>
        <w:rPr>
          <w:color w:val="000000"/>
          <w:sz w:val="20"/>
          <w:szCs w:val="20"/>
        </w:rPr>
        <w:t>[TIMELINE] — Apply Critical Security Patches Within Defined Timeframe
What this says: Critical vendor-supplied security patches must be applied within a defined timeframe after release. All other applicable vendor patches should follow the documented patching schedule.
Why it matters: Critical patches address actively exploited vulnerabilities. Delaying them leaves you exposed. Supabase, OS vendors, and library publishers often release critical patches—you need a fast response time.
Recommendation: For PolicyLift: Critical patches (CVSS 9-10 or labeled ’critical’ by vendor) must be evaluated within 24 hours and applied within 7 days. Set up monitoring for Supabase release notes and OS security bulletins—subscribe to notifications or check weekly. Assign the CTO to review critical patches and decide apply/delay reasons. Document the decision. Test critical patches in dev immediately before applying to production (can be done in parallel to save time).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1784FBD" w15:done="0"/>
  <w15:commentEx w15:paraId="0B2C5A12" w15:done="0"/>
  <w15:commentEx w15:paraId="55086A87" w15:done="0"/>
  <w15:commentEx w15:paraId="0BFAA155" w15:done="0"/>
  <w15:commentEx w15:paraId="1BB586DF" w15:done="0"/>
  <w15:commentEx w15:paraId="17ABB19C" w15:done="0"/>
  <w15:commentEx w15:paraId="67AFB18F" w15:done="0"/>
  <w15:commentEx w15:paraId="5A4B2ED4" w15:done="0"/>
  <w15:commentEx w15:paraId="242277EE" w15:done="0"/>
  <w15:commentEx w15:paraId="27CD2851" w15:done="0"/>
  <w15:commentEx w15:paraId="5E748E1F" w15:done="0"/>
  <w15:commentEx w15:paraId="33C45B51" w15:done="0"/>
  <w15:commentEx w15:paraId="7A570A9A" w15:done="0"/>
  <w15:commentEx w15:paraId="03306F2A" w15:done="0"/>
  <w15:commentEx w15:paraId="33BC77CA" w15:done="0"/>
  <w15:commentEx w15:paraId="4F0E88A9" w15:done="0"/>
  <w15:commentEx w15:paraId="4598F04A" w15:done="0"/>
  <w15:commentEx w15:paraId="27FF6807" w15:done="0"/>
  <w15:commentEx w15:paraId="17269828" w15:done="0"/>
  <w15:commentEx w15:paraId="1168C5C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cr="http://schemas.microsoft.com/office/comments/2020/reactions" mc:Ignorable="w14 w15 w16se w16cid w16 w16cex w16sdtdh w16sdtfl cr w16du wp14">
  <w16cex:commentExtensible w16cex:durableId="3985E433" w16cex:dateUtc="2026-02-10T01:43:25Z"/>
  <w16cex:commentExtensible w16cex:durableId="2912C12B" w16cex:dateUtc="2026-02-10T01:43:25Z"/>
  <w16cex:commentExtensible w16cex:durableId="4F1A617A" w16cex:dateUtc="2026-02-10T01:43:25Z"/>
  <w16cex:commentExtensible w16cex:durableId="775404F4" w16cex:dateUtc="2026-02-10T01:43:25Z"/>
  <w16cex:commentExtensible w16cex:durableId="473055E6" w16cex:dateUtc="2026-02-10T01:43:25Z"/>
  <w16cex:commentExtensible w16cex:durableId="6D3FE292" w16cex:dateUtc="2026-02-10T01:43:25Z"/>
  <w16cex:commentExtensible w16cex:durableId="3147EE20" w16cex:dateUtc="2026-02-10T01:43:25Z"/>
  <w16cex:commentExtensible w16cex:durableId="62E09EF1" w16cex:dateUtc="2026-02-10T01:43:25Z"/>
  <w16cex:commentExtensible w16cex:durableId="30E24B4B" w16cex:dateUtc="2026-02-10T01:43:25Z"/>
  <w16cex:commentExtensible w16cex:durableId="3346456A" w16cex:dateUtc="2026-02-10T01:43:25Z"/>
  <w16cex:commentExtensible w16cex:durableId="0C5E3F22" w16cex:dateUtc="2026-02-10T01:43:25Z"/>
  <w16cex:commentExtensible w16cex:durableId="504C38A7" w16cex:dateUtc="2026-02-10T01:43:25Z"/>
  <w16cex:commentExtensible w16cex:durableId="3F3CFCF1" w16cex:dateUtc="2026-02-10T01:43:25Z"/>
  <w16cex:commentExtensible w16cex:durableId="31A85631" w16cex:dateUtc="2026-02-10T01:43:25Z"/>
  <w16cex:commentExtensible w16cex:durableId="3F0AAD78" w16cex:dateUtc="2026-02-10T01:43:25Z"/>
  <w16cex:commentExtensible w16cex:durableId="4F7022A7" w16cex:dateUtc="2026-02-10T01:43:25Z"/>
  <w16cex:commentExtensible w16cex:durableId="415D679E" w16cex:dateUtc="2026-02-10T01:43:25Z"/>
  <w16cex:commentExtensible w16cex:durableId="2082162A" w16cex:dateUtc="2026-02-10T01:43:25Z"/>
  <w16cex:commentExtensible w16cex:durableId="2AF2AD57" w16cex:dateUtc="2026-02-10T01:43:25Z"/>
  <w16cex:commentExtensible w16cex:durableId="449DCCA2" w16cex:dateUtc="2026-02-10T01:43:25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1784FBD" w16cid:durableId="3985E433"/>
  <w16cid:commentId w16cid:paraId="0B2C5A12" w16cid:durableId="2912C12B"/>
  <w16cid:commentId w16cid:paraId="55086A87" w16cid:durableId="4F1A617A"/>
  <w16cid:commentId w16cid:paraId="0BFAA155" w16cid:durableId="775404F4"/>
  <w16cid:commentId w16cid:paraId="1BB586DF" w16cid:durableId="473055E6"/>
  <w16cid:commentId w16cid:paraId="17ABB19C" w16cid:durableId="6D3FE292"/>
  <w16cid:commentId w16cid:paraId="67AFB18F" w16cid:durableId="3147EE20"/>
  <w16cid:commentId w16cid:paraId="5A4B2ED4" w16cid:durableId="62E09EF1"/>
  <w16cid:commentId w16cid:paraId="242277EE" w16cid:durableId="30E24B4B"/>
  <w16cid:commentId w16cid:paraId="27CD2851" w16cid:durableId="3346456A"/>
  <w16cid:commentId w16cid:paraId="5E748E1F" w16cid:durableId="0C5E3F22"/>
  <w16cid:commentId w16cid:paraId="33C45B51" w16cid:durableId="504C38A7"/>
  <w16cid:commentId w16cid:paraId="7A570A9A" w16cid:durableId="3F3CFCF1"/>
  <w16cid:commentId w16cid:paraId="03306F2A" w16cid:durableId="31A85631"/>
  <w16cid:commentId w16cid:paraId="33BC77CA" w16cid:durableId="3F0AAD78"/>
  <w16cid:commentId w16cid:paraId="4F0E88A9" w16cid:durableId="4F7022A7"/>
  <w16cid:commentId w16cid:paraId="4598F04A" w16cid:durableId="415D679E"/>
  <w16cid:commentId w16cid:paraId="27FF6807" w16cid:durableId="2082162A"/>
  <w16cid:commentId w16cid:paraId="17269828" w16cid:durableId="2AF2AD57"/>
  <w16cid:commentId w16cid:paraId="1168C5C8" w16cid:durableId="449DCCA2"/>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CONFIDENTIAL - </w:t>
    </w: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PolicyLift SOC 2 Policy Review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 w:type="paragraph" w:styleId="Heading3">
    <w:name w:val="Heading 3"/>
    <w:basedOn w:val="Normal"/>
    <w:next w:val="Normal"/>
    <w:qFormat/>
    <w:pPr>
      <w:spacing w:before="140" w:after="14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 Id="rId9" Type="http://schemas.microsoft.com/office/2011/relationships/commentsExtended" Target="commentsExtended.xml"/><Relationship Id="rId10" Type="http://schemas.microsoft.com/office/2016/09/relationships/commentsIds" Target="commentsIds.xml"/><Relationship Id="rId11" Type="http://schemas.microsoft.com/office/2018/08/relationships/commentsExtensible" Target="commentsExtensi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2026-02-10T01:43:24.497Z</dcterms:created>
  <dcterms:modified xsi:type="dcterms:W3CDTF">2026-02-10T01:43:24.497Z</dcterms:modified>
</cp:coreProperties>
</file>

<file path=docProps/custom.xml><?xml version="1.0" encoding="utf-8"?>
<Properties xmlns="http://schemas.openxmlformats.org/officeDocument/2006/custom-properties" xmlns:vt="http://schemas.openxmlformats.org/officeDocument/2006/docPropsVTypes"/>
</file>