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Information Technology Leadership Committee Charter</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ITLC must meet quarterly to oversee technology strategy and security</w:t>
      </w:r>
    </w:p>
    <w:p>
      <w:pPr>
        <w:pStyle w:val="ListParagraph"/>
        <w:numPr>
          <w:ilvl w:val="0"/>
          <w:numId w:val="2"/>
        </w:numPr>
        <w:spacing w:before="40" w:after="40"/>
      </w:pPr>
      <w:r>
        <w:rPr>
          <w:rFonts w:ascii="Arial" w:cs="Arial" w:eastAsia="Arial" w:hAnsi="Arial"/>
          <w:sz w:val="22"/>
          <w:szCs w:val="22"/>
        </w:rPr>
        <w:t xml:space="preserve">Committee should include IT and Engineering executive management</w:t>
      </w:r>
    </w:p>
    <w:p>
      <w:pPr>
        <w:pStyle w:val="ListParagraph"/>
        <w:numPr>
          <w:ilvl w:val="0"/>
          <w:numId w:val="2"/>
        </w:numPr>
        <w:spacing w:before="40" w:after="40"/>
      </w:pPr>
      <w:r>
        <w:rPr>
          <w:rFonts w:ascii="Arial" w:cs="Arial" w:eastAsia="Arial" w:hAnsi="Arial"/>
          <w:sz w:val="22"/>
          <w:szCs w:val="22"/>
        </w:rPr>
        <w:t xml:space="preserve">No ITLC members clearly defined in current 9-person org</w:t>
      </w:r>
    </w:p>
    <w:p>
      <w:pPr>
        <w:pStyle w:val="ListParagraph"/>
        <w:numPr>
          <w:ilvl w:val="0"/>
          <w:numId w:val="2"/>
        </w:numPr>
        <w:spacing w:before="40" w:after="40"/>
      </w:pPr>
      <w:r>
        <w:rPr>
          <w:rFonts w:ascii="Arial" w:cs="Arial" w:eastAsia="Arial" w:hAnsi="Arial"/>
          <w:sz w:val="22"/>
          <w:szCs w:val="22"/>
        </w:rPr>
        <w:t xml:space="preserve">Committee must review and approve security policies</w:t>
      </w:r>
    </w:p>
    <w:p>
      <w:pPr>
        <w:pStyle w:val="ListParagraph"/>
        <w:numPr>
          <w:ilvl w:val="0"/>
          <w:numId w:val="2"/>
        </w:numPr>
        <w:spacing w:before="40" w:after="40"/>
      </w:pPr>
      <w:r>
        <w:rPr>
          <w:rFonts w:ascii="Arial" w:cs="Arial" w:eastAsia="Arial" w:hAnsi="Arial"/>
          <w:sz w:val="22"/>
          <w:szCs w:val="22"/>
        </w:rPr>
        <w:t xml:space="preserve">Incident response lessons learned must be discussed quarterly</w:t>
      </w:r>
    </w:p>
    <w:p>
      <w:pPr>
        <w:pStyle w:val="ListParagraph"/>
        <w:numPr>
          <w:ilvl w:val="0"/>
          <w:numId w:val="2"/>
        </w:numPr>
        <w:spacing w:before="40" w:after="40"/>
      </w:pPr>
      <w:r>
        <w:rPr>
          <w:rFonts w:ascii="Arial" w:cs="Arial" w:eastAsia="Arial" w:hAnsi="Arial"/>
          <w:sz w:val="22"/>
          <w:szCs w:val="22"/>
        </w:rPr>
        <w:t xml:space="preserve">Minutes and action items must be maintained and tracked</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ITLC Committee Members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 and Engineering executive management (undefined in 9-person org)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Board of Directors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Oversees ITLC and receives reports on technology risks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Likely ITLC lead and primary technology executive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Head of Operations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Likely ITLC member for operational/business perspective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Product Manager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May participate in technology strategy discussions</w:t>
            </w:r>
          </w:p>
        </w:tc>
      </w:tr>
    </w:tbl>
    <w:p>
      <w:r>
        <w:br w:type="page"/>
      </w:r>
    </w:p>
    <w:p>
      <w:pPr>
        <w:pStyle w:val="Heading1"/>
        <w:spacing w:before="0" w:after="200"/>
      </w:pPr>
      <w:r>
        <w:rPr>
          <w:rFonts w:ascii="Arial" w:cs="Arial" w:eastAsia="Arial" w:hAnsi="Arial"/>
          <w:b/>
          <w:bCs/>
          <w:sz w:val="32"/>
          <w:szCs w:val="32"/>
        </w:rPr>
        <w:t xml:space="preserve">Information Technology Leadership Committee Charter</w:t>
      </w:r>
    </w:p>
    <w:p>
      <w:pPr>
        <w:pStyle w:val="Heading2"/>
        <w:spacing w:before="200" w:after="100"/>
      </w:pPr>
      <w:r>
        <w:rPr>
          <w:rFonts w:ascii="Arial" w:cs="Arial" w:eastAsia="Arial" w:hAnsi="Arial"/>
          <w:b/>
          <w:bCs/>
          <w:sz w:val="24"/>
          <w:szCs w:val="24"/>
        </w:rPr>
        <w:t xml:space="preserve">Purpose of Charter</w:t>
      </w:r>
    </w:p>
    <w:p>
      <w:pPr>
        <w:spacing w:before="60" w:after="60"/>
      </w:pPr>
    </w:p>
    <w:p>
      <w:pPr>
        <w:spacing w:before="60" w:after="60"/>
      </w:pPr>
      <w:r>
        <w:rPr>
          <w:rFonts w:ascii="Arial" w:cs="Arial" w:eastAsia="Arial" w:hAnsi="Arial"/>
          <w:sz w:val="22"/>
          <w:szCs w:val="22"/>
        </w:rPr>
        <w:t xml:space="preserve">The Information Technology Leadership Charter sets out the roles, composition, and responsibilities of the Information Technology Leadership Committee of PolicyLift.</w:t>
      </w:r>
    </w:p>
    <w:p>
      <w:pPr>
        <w:spacing w:before="60" w:after="60"/>
      </w:pP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This Charter covers all of PolicyLift.</w:t>
      </w:r>
    </w:p>
    <w:p>
      <w:pPr>
        <w:spacing w:before="60" w:after="60"/>
      </w:pPr>
    </w:p>
    <w:p>
      <w:pPr>
        <w:pStyle w:val="Heading2"/>
        <w:spacing w:before="200" w:after="100"/>
      </w:pPr>
      <w:r>
        <w:rPr>
          <w:rFonts w:ascii="Arial" w:cs="Arial" w:eastAsia="Arial" w:hAnsi="Arial"/>
          <w:b/>
          <w:bCs/>
          <w:sz w:val="24"/>
          <w:szCs w:val="24"/>
        </w:rPr>
        <w:t xml:space="preserve">Purpose of the IT Leadership Committee</w:t>
      </w:r>
    </w:p>
    <w:p>
      <w:pPr>
        <w:spacing w:before="60" w:after="60"/>
      </w:pPr>
    </w:p>
    <w:p>
      <w:pPr>
        <w:spacing w:before="60" w:after="60"/>
      </w:pPr>
      <w:commentRangeStart w:id="0"/>
      <w:r>
        <w:rPr>
          <w:rFonts w:ascii="Arial" w:cs="Arial" w:eastAsia="Arial" w:hAnsi="Arial"/>
          <w:sz w:val="22"/>
          <w:szCs w:val="22"/>
        </w:rPr>
        <w:t xml:space="preserve">An Information Technology Leadership Committee (the “Committee”, or, “ITLC”) of PolicyLift has been established by resolution of the Board. The purpose of ITLC is to assist the Board of Directors in fulfilling its oversight responsibilities concerning the overall role of technology in executing the business strategy of the Corporation including, but not limited to, major technology investment, technology strategy, operational performance, and technology trends that may affect the business.</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Roles and Responsibilities</w:t>
      </w:r>
    </w:p>
    <w:p>
      <w:pPr>
        <w:spacing w:before="60" w:after="60"/>
      </w:pPr>
    </w:p>
    <w:p>
      <w:pPr>
        <w:spacing w:before="60" w:after="60"/>
      </w:pPr>
      <w:commentRangeStart w:id="1"/>
      <w:r>
        <w:rPr>
          <w:rFonts w:ascii="Arial" w:cs="Arial" w:eastAsia="Arial" w:hAnsi="Arial"/>
          <w:sz w:val="22"/>
          <w:szCs w:val="22"/>
        </w:rPr>
        <w:t xml:space="preserve">The IT Leadership Committee shall consist of IT and Engineering Executive Management leaders. The members of the IT Leadership Committee may have members who are not part of the board.</w:t>
      </w:r>
      <w:commentRangeEnd w:id="1"/>
      <w:r>
        <w:rPr>
          <w:rStyle w:val="CommentReference"/>
        </w:rPr>
        <w:commentReference w:id="1"/>
      </w:r>
    </w:p>
    <w:p>
      <w:pPr>
        <w:spacing w:before="60" w:after="60"/>
      </w:pPr>
    </w:p>
    <w:p>
      <w:pPr>
        <w:spacing w:before="60" w:after="60"/>
      </w:pPr>
      <w:r>
        <w:rPr>
          <w:rFonts w:ascii="Arial" w:cs="Arial" w:eastAsia="Arial" w:hAnsi="Arial"/>
          <w:sz w:val="22"/>
          <w:szCs w:val="22"/>
        </w:rPr>
        <w:t xml:space="preserve">The Committee’s specific responsibilities shall include:</w:t>
      </w:r>
    </w:p>
    <w:p>
      <w:pPr>
        <w:spacing w:before="60" w:after="60"/>
      </w:pPr>
    </w:p>
    <w:p>
      <w:pPr>
        <w:pStyle w:val="ListParagraph"/>
        <w:numPr>
          <w:ilvl w:val="0"/>
          <w:numId w:val="3"/>
        </w:numPr>
        <w:spacing w:before="40" w:after="40"/>
      </w:pPr>
      <w:r>
        <w:rPr>
          <w:rFonts w:ascii="Arial" w:cs="Arial" w:eastAsia="Arial" w:hAnsi="Arial"/>
          <w:sz w:val="22"/>
          <w:szCs w:val="22"/>
        </w:rPr>
        <w:t xml:space="preserve">Review and approve the corporation’s technology planning and strategy</w:t>
      </w:r>
    </w:p>
    <w:p>
      <w:pPr>
        <w:pStyle w:val="ListParagraph"/>
        <w:numPr>
          <w:ilvl w:val="0"/>
          <w:numId w:val="3"/>
        </w:numPr>
        <w:spacing w:before="40" w:after="40"/>
      </w:pPr>
      <w:r>
        <w:rPr>
          <w:rFonts w:ascii="Arial" w:cs="Arial" w:eastAsia="Arial" w:hAnsi="Arial"/>
          <w:sz w:val="22"/>
          <w:szCs w:val="22"/>
        </w:rPr>
        <w:t xml:space="preserve">Review significant technology investments and expenditures</w:t>
      </w:r>
    </w:p>
    <w:p>
      <w:pPr>
        <w:pStyle w:val="ListParagraph"/>
        <w:numPr>
          <w:ilvl w:val="0"/>
          <w:numId w:val="3"/>
        </w:numPr>
        <w:spacing w:before="40" w:after="40"/>
      </w:pPr>
      <w:commentRangeStart w:id="3"/>
      <w:r>
        <w:rPr>
          <w:rFonts w:ascii="Arial" w:cs="Arial" w:eastAsia="Arial" w:hAnsi="Arial"/>
          <w:sz w:val="22"/>
          <w:szCs w:val="22"/>
        </w:rPr>
        <w:t xml:space="preserve">Review and evaluate activities and processes that are essential in meeting the organization’s security commitments</w:t>
      </w:r>
      <w:commentRangeEnd w:id="3"/>
      <w:r>
        <w:rPr>
          <w:rStyle w:val="CommentReference"/>
        </w:rPr>
        <w:commentReference w:id="3"/>
      </w:r>
    </w:p>
    <w:p>
      <w:pPr>
        <w:pStyle w:val="ListParagraph"/>
        <w:numPr>
          <w:ilvl w:val="0"/>
          <w:numId w:val="3"/>
        </w:numPr>
        <w:spacing w:before="40" w:after="40"/>
      </w:pPr>
      <w:commentRangeStart w:id="5"/>
      <w:r>
        <w:rPr>
          <w:rFonts w:ascii="Arial" w:cs="Arial" w:eastAsia="Arial" w:hAnsi="Arial"/>
          <w:sz w:val="22"/>
          <w:szCs w:val="22"/>
        </w:rPr>
        <w:t xml:space="preserve">Discuss if there are any IT security-related issues and take actions as necessary</w:t>
      </w:r>
      <w:commentRangeEnd w:id="5"/>
      <w:r>
        <w:rPr>
          <w:rStyle w:val="CommentReference"/>
        </w:rPr>
        <w:commentReference w:id="5"/>
      </w:r>
    </w:p>
    <w:p>
      <w:pPr>
        <w:pStyle w:val="ListParagraph"/>
        <w:numPr>
          <w:ilvl w:val="0"/>
          <w:numId w:val="3"/>
        </w:numPr>
        <w:spacing w:before="40" w:after="40"/>
      </w:pPr>
      <w:commentRangeStart w:id="10"/>
      <w:r>
        <w:rPr>
          <w:rFonts w:ascii="Arial" w:cs="Arial" w:eastAsia="Arial" w:hAnsi="Arial"/>
          <w:sz w:val="22"/>
          <w:szCs w:val="22"/>
        </w:rPr>
        <w:t xml:space="preserve">Receive reports from management concerning the Corporation’s technology operations including, among other things, software development, project performance, technical operations performance, technology architecture, and significant technology investments.</w:t>
      </w:r>
      <w:commentRangeEnd w:id="10"/>
      <w:r>
        <w:rPr>
          <w:rStyle w:val="CommentReference"/>
        </w:rPr>
        <w:commentReference w:id="10"/>
      </w:r>
    </w:p>
    <w:p>
      <w:pPr>
        <w:pStyle w:val="ListParagraph"/>
        <w:numPr>
          <w:ilvl w:val="0"/>
          <w:numId w:val="3"/>
        </w:numPr>
        <w:spacing w:before="40" w:after="40"/>
      </w:pPr>
      <w:commentRangeStart w:id="4"/>
      <w:r>
        <w:rPr>
          <w:rFonts w:ascii="Arial" w:cs="Arial" w:eastAsia="Arial" w:hAnsi="Arial"/>
          <w:sz w:val="22"/>
          <w:szCs w:val="22"/>
        </w:rPr>
        <w:t xml:space="preserve">Approve policies related to software development, project performance, technical operations performance, and technology investments or recommend policies to the Board for approval, as appropriate</w:t>
      </w:r>
      <w:commentRangeEnd w:id="4"/>
      <w:r>
        <w:rPr>
          <w:rStyle w:val="CommentReference"/>
        </w:rPr>
        <w:commentReference w:id="4"/>
      </w:r>
    </w:p>
    <w:p>
      <w:pPr>
        <w:pStyle w:val="ListParagraph"/>
        <w:numPr>
          <w:ilvl w:val="0"/>
          <w:numId w:val="3"/>
        </w:numPr>
        <w:spacing w:before="40" w:after="40"/>
      </w:pPr>
      <w:commentRangeStart w:id="11"/>
      <w:r>
        <w:rPr>
          <w:rFonts w:ascii="Arial" w:cs="Arial" w:eastAsia="Arial" w:hAnsi="Arial"/>
          <w:sz w:val="22"/>
          <w:szCs w:val="22"/>
        </w:rPr>
        <w:t xml:space="preserve">Perform any other activities consistent with this charter, the Corporation’s bylaws, and governing law</w:t>
      </w:r>
      <w:commentRangeEnd w:id="11"/>
      <w:r>
        <w:rPr>
          <w:rStyle w:val="CommentReference"/>
        </w:rPr>
        <w:commentReference w:id="11"/>
      </w:r>
    </w:p>
    <w:p>
      <w:pPr>
        <w:pStyle w:val="ListParagraph"/>
        <w:numPr>
          <w:ilvl w:val="0"/>
          <w:numId w:val="3"/>
        </w:numPr>
        <w:spacing w:before="40" w:after="40"/>
      </w:pPr>
      <w:commentRangeStart w:id="6"/>
      <w:r>
        <w:rPr>
          <w:rFonts w:ascii="Arial" w:cs="Arial" w:eastAsia="Arial" w:hAnsi="Arial"/>
          <w:sz w:val="22"/>
          <w:szCs w:val="22"/>
        </w:rPr>
        <w:t xml:space="preserve">Discuss the lesson learned from ongoing incident response activities and take necessary corrective action as appropriate</w:t>
      </w:r>
      <w:commentRangeEnd w:id="6"/>
      <w:r>
        <w:rPr>
          <w:rStyle w:val="CommentReference"/>
        </w:rPr>
        <w:commentReference w:id="6"/>
      </w:r>
    </w:p>
    <w:p>
      <w:pPr>
        <w:spacing w:before="60" w:after="60"/>
      </w:pPr>
    </w:p>
    <w:p>
      <w:pPr>
        <w:pStyle w:val="Heading2"/>
        <w:spacing w:before="200" w:after="100"/>
      </w:pPr>
      <w:r>
        <w:rPr>
          <w:rFonts w:ascii="Arial" w:cs="Arial" w:eastAsia="Arial" w:hAnsi="Arial"/>
          <w:b/>
          <w:bCs/>
          <w:sz w:val="24"/>
          <w:szCs w:val="24"/>
        </w:rPr>
        <w:t xml:space="preserve">Reporting</w:t>
      </w:r>
    </w:p>
    <w:p>
      <w:pPr>
        <w:spacing w:before="60" w:after="60"/>
      </w:pPr>
    </w:p>
    <w:p>
      <w:pPr>
        <w:spacing w:before="60" w:after="60"/>
      </w:pPr>
      <w:r>
        <w:rPr>
          <w:rFonts w:ascii="Arial" w:cs="Arial" w:eastAsia="Arial" w:hAnsi="Arial"/>
          <w:sz w:val="22"/>
          <w:szCs w:val="22"/>
        </w:rPr>
        <w:t xml:space="preserve">Proceedings of all meetings are minuted and signed by one member of the Committee.</w:t>
      </w:r>
    </w:p>
    <w:p>
      <w:pPr>
        <w:spacing w:before="60" w:after="60"/>
      </w:pPr>
    </w:p>
    <w:p>
      <w:pPr>
        <w:spacing w:before="60" w:after="60"/>
      </w:pPr>
      <w:commentRangeStart w:id="8"/>
      <w:r>
        <w:rPr>
          <w:rFonts w:ascii="Arial" w:cs="Arial" w:eastAsia="Arial" w:hAnsi="Arial"/>
          <w:sz w:val="22"/>
          <w:szCs w:val="22"/>
        </w:rPr>
        <w:t xml:space="preserve">Minutes of all Committee meetings are circulated to Committee members and at the start of each subsequent meeting, the status of action items identified at the end of the previous meeting is discussed.</w:t>
      </w:r>
      <w:commentRangeEnd w:id="8"/>
      <w:r>
        <w:rPr>
          <w:rStyle w:val="CommentReference"/>
        </w:rPr>
        <w:commentReference w:id="8"/>
      </w:r>
    </w:p>
    <w:p>
      <w:pPr>
        <w:spacing w:before="60" w:after="60"/>
      </w:pPr>
    </w:p>
    <w:p>
      <w:pPr>
        <w:pStyle w:val="Heading2"/>
        <w:spacing w:before="200" w:after="100"/>
      </w:pPr>
      <w:r>
        <w:rPr>
          <w:rFonts w:ascii="Arial" w:cs="Arial" w:eastAsia="Arial" w:hAnsi="Arial"/>
          <w:b/>
          <w:bCs/>
          <w:sz w:val="24"/>
          <w:szCs w:val="24"/>
        </w:rPr>
        <w:t xml:space="preserve">Meeting</w:t>
      </w:r>
    </w:p>
    <w:p>
      <w:pPr>
        <w:spacing w:before="60" w:after="60"/>
      </w:pPr>
    </w:p>
    <w:p>
      <w:pPr>
        <w:spacing w:before="60" w:after="60"/>
      </w:pPr>
      <w:commentRangeStart w:id="7"/>
      <w:r>
        <w:rPr>
          <w:rFonts w:ascii="Arial" w:cs="Arial" w:eastAsia="Arial" w:hAnsi="Arial"/>
          <w:sz w:val="22"/>
          <w:szCs w:val="22"/>
        </w:rPr>
        <w:t xml:space="preserve">The Committee shall meet on a quarterly basis. Minutes and records of all meetings are maintained and distributed to participants.</w:t>
      </w:r>
      <w:commentRangeEnd w:id="7"/>
      <w:r>
        <w:rPr>
          <w:rStyle w:val="CommentReference"/>
        </w:rPr>
        <w:commentReference w:id="7"/>
      </w:r>
    </w:p>
    <w:p>
      <w:pPr>
        <w:spacing w:before="60" w:after="60"/>
      </w:pPr>
    </w:p>
    <w:p>
      <w:pPr>
        <w:pStyle w:val="Heading2"/>
        <w:spacing w:before="200" w:after="100"/>
      </w:pPr>
      <w:r>
        <w:rPr>
          <w:rFonts w:ascii="Arial" w:cs="Arial" w:eastAsia="Arial" w:hAnsi="Arial"/>
          <w:b/>
          <w:bCs/>
          <w:sz w:val="24"/>
          <w:szCs w:val="24"/>
        </w:rPr>
        <w:t xml:space="preserve">Review of Charter</w:t>
      </w:r>
    </w:p>
    <w:p>
      <w:pPr>
        <w:spacing w:before="60" w:after="60"/>
      </w:pPr>
    </w:p>
    <w:p>
      <w:pPr>
        <w:spacing w:before="60" w:after="60"/>
      </w:pPr>
      <w:commentRangeStart w:id="9"/>
      <w:r>
        <w:rPr>
          <w:rFonts w:ascii="Arial" w:cs="Arial" w:eastAsia="Arial" w:hAnsi="Arial"/>
          <w:sz w:val="22"/>
          <w:szCs w:val="22"/>
        </w:rPr>
        <w:t xml:space="preserve">The Board of Directors will review this charter annually to ensure it remains consistent with the Committee’s objectives and responsibilities.</w:t>
      </w:r>
      <w:commentRangeEnd w:id="9"/>
      <w:r>
        <w:rPr>
          <w:rStyle w:val="CommentReference"/>
        </w:rPr>
        <w:commentReference w:id="9"/>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45Z" w:initials="PR">
    <w:p w14:paraId="7E94443D" w14:textId="77777777">
      <w:r>
        <w:rPr>
          <w:rStyle w:val="CommentReference"/>
        </w:rPr>
        <w:annotationRef/>
      </w:r>
      <w:r>
        <w:rPr>
          <w:color w:val="000000"/>
          <w:sz w:val="20"/>
          <w:szCs w:val="20"/>
        </w:rPr>
        <w:t>ROLE — ITLC Definition and Purpose
What this says: ITLC is established by Board resolution to assist the Board in overseeing technology strategy, major investments, operations, and trends affecting business.
Why it matters: SOC 2 requires evidence of management oversight of information security. ITLC is the governance body responsible for security strategy and risk management.
Recommendation: Formally establish ITLC with written Board resolution. Document committee members (see comment on composition). Schedule the first ITLC meeting and minute-taking protocol. Ensure ITLC charter is approved by Board.</w:t>
      </w:r>
    </w:p>
  </w:comment>
  <w:comment w:id="1" w:author="PolicyLift Reviewer" w:date="2026-02-10T01:43:45Z" w:initials="PR">
    <w:p w14:paraId="60A2356A" w14:textId="77777777">
      <w:r>
        <w:rPr>
          <w:rStyle w:val="CommentReference"/>
        </w:rPr>
        <w:annotationRef/>
      </w:r>
      <w:r>
        <w:rPr>
          <w:color w:val="000000"/>
          <w:sz w:val="20"/>
          <w:szCs w:val="20"/>
        </w:rPr>
        <w:t>ROLE — ITLC Composition Gap
What this says: ITLC should include IT and Engineering executive management. Non-board members may participate.
Why it matters: PolicyLift is a 9-person startup. It has CTO (IT/Engineering leader) but no formal ’IT executive management’ layer. ITLC composition is unclear.
Recommendation: Define ITLC members: CTO (chair), Head of Operations, and possibly Product Manager or CEO. Document this in the charter. If members are insufficient, consider expanding to include senior developer(s). Ensure 3+ people for quorum. Update Board resolution with specific names.</w:t>
      </w:r>
    </w:p>
  </w:comment>
  <w:comment w:id="2" w:author="PolicyLift Reviewer" w:date="2026-02-10T01:43:45Z" w:initials="PR">
    <w:p w14:paraId="2B9109A6" w14:textId="77777777">
      <w:r>
        <w:rPr>
          <w:rStyle w:val="CommentReference"/>
        </w:rPr>
        <w:annotationRef/>
      </w:r>
      <w:r>
        <w:rPr>
          <w:color w:val="000000"/>
          <w:sz w:val="20"/>
          <w:szCs w:val="20"/>
        </w:rPr>
        <w:t>PROCESS — ITLC Technology Strategy Oversight
What this says: ITLC reviews and approves technology planning and strategy.
Why it matters: SOC 2 requires evidence that security is integrated into technology strategy. The ITLC must ensure new technologies and investments don’t create security gaps.
Recommendation: At each ITLC meeting, review any major technology decisions (new tools, architecture changes, vendor selections). Create a technology roadmap (annual) that includes security milestones (e.g., ’Q2: Complete pen testing with Delve, Q3: Implement recommended remediations’). Document approvals in meeting minutes.</w:t>
      </w:r>
    </w:p>
  </w:comment>
  <w:comment w:id="3" w:author="PolicyLift Reviewer" w:date="2026-02-10T01:43:45Z" w:initials="PR">
    <w:p w14:paraId="73E8A835" w14:textId="77777777">
      <w:r>
        <w:rPr>
          <w:rStyle w:val="CommentReference"/>
        </w:rPr>
        <w:annotationRef/>
      </w:r>
      <w:r>
        <w:rPr>
          <w:color w:val="000000"/>
          <w:sz w:val="20"/>
          <w:szCs w:val="20"/>
        </w:rPr>
        <w:t>COMMITMENT — ITLC Security Oversight Responsibility
What this says: ITLC reviews and evaluates security activities and processes to ensure they meet organizational commitments.
Why it matters: This is the key mechanism for SOC 2 compliance governance. ITLC must track whether security policies are being followed and whether controls are effective.
Recommendation: Create a ’Security Commitments Tracker’ (matrix of policies, controls, implementation status). Review this at every ITLC meeting. Examples: ’Incident response procedures tested: Yes/No’, ’Access audits completed: Q1 ✓, Q2 ✓, Q3 pending’, ’Supabase SOC 2 review: completed [date]’. Use this to drive action items.</w:t>
      </w:r>
    </w:p>
  </w:comment>
  <w:comment w:id="4" w:author="PolicyLift Reviewer" w:date="2026-02-10T01:43:45Z" w:initials="PR">
    <w:p w14:paraId="528903FB" w14:textId="77777777">
      <w:r>
        <w:rPr>
          <w:rStyle w:val="CommentReference"/>
        </w:rPr>
        <w:annotationRef/>
      </w:r>
      <w:r>
        <w:rPr>
          <w:color w:val="000000"/>
          <w:sz w:val="20"/>
          <w:szCs w:val="20"/>
        </w:rPr>
        <w:t>ROLE — ITLC Policy Approval Authority
What this says: ITLC approves or recommends policies on development, operations, and technology investments to Board.
Why it matters: Clarifies who has authority to approve policies. Prevents policy decisions being made ad-hoc by individuals.
Recommendation: Create a policy approval process: CTO drafts policy → ITLC reviews and recommends → Board approves (for major policies) or ITLC approves (for technical policies). Document approval dates in each policy. For offshore devs, ensure policies are approved before being enforced on the team.</w:t>
      </w:r>
    </w:p>
  </w:comment>
  <w:comment w:id="5" w:author="PolicyLift Reviewer" w:date="2026-02-10T01:43:45Z" w:initials="PR">
    <w:p w14:paraId="40A81F14" w14:textId="77777777">
      <w:r>
        <w:rPr>
          <w:rStyle w:val="CommentReference"/>
        </w:rPr>
        <w:annotationRef/>
      </w:r>
      <w:r>
        <w:rPr>
          <w:color w:val="000000"/>
          <w:sz w:val="20"/>
          <w:szCs w:val="20"/>
        </w:rPr>
        <w:t>PROCESS — ITLC Security Issue Resolution
What this says: ITLC discusses IT security issues and takes corrective actions.
Why it matters: ITLC is the escalation forum for security problems. This ensures issues get appropriate management attention.
Recommendation: At each ITLC meeting, CTO presents: pending incidents, vulnerability findings, policy violations, vendor security concerns. Create an issue log (template: issue, severity, owner, deadline, status). Use ITLC meeting to escalate issues that CTO cannot resolve independently.</w:t>
      </w:r>
    </w:p>
  </w:comment>
  <w:comment w:id="6" w:author="PolicyLift Reviewer" w:date="2026-02-10T01:43:45Z" w:initials="PR">
    <w:p w14:paraId="5CD01BF3" w14:textId="77777777">
      <w:r>
        <w:rPr>
          <w:rStyle w:val="CommentReference"/>
        </w:rPr>
        <w:annotationRef/>
      </w:r>
      <w:r>
        <w:rPr>
          <w:color w:val="000000"/>
          <w:sz w:val="20"/>
          <w:szCs w:val="20"/>
        </w:rPr>
        <w:t>RECURRING — ITLC Review of Incident Lessons Learned
What this says: ITLC discusses lessons learned from incident response activities and determines corrective actions.
Why it matters: This closes the loop on incidents: discovery → investigation → lessons learned → control improvements. SOC 2 auditors expect to see evidence of this cycle.
Recommendation: At each ITLC meeting (quarterly), review incidents from the prior quarter. For each significant incident (Medium/High/Critical), present: what happened, why, what control failed, what control improvement will prevent recurrence. Document action items and track to closure. Include offshore dev incidents.</w:t>
      </w:r>
    </w:p>
  </w:comment>
  <w:comment w:id="7" w:author="PolicyLift Reviewer" w:date="2026-02-10T01:43:45Z" w:initials="PR">
    <w:p w14:paraId="4F52525D" w14:textId="77777777">
      <w:r>
        <w:rPr>
          <w:rStyle w:val="CommentReference"/>
        </w:rPr>
        <w:annotationRef/>
      </w:r>
      <w:r>
        <w:rPr>
          <w:color w:val="000000"/>
          <w:sz w:val="20"/>
          <w:szCs w:val="20"/>
        </w:rPr>
        <w:t>RECURRING — Quarterly ITLC Meetings with Documented Minutes
What this says: ITLC meets quarterly. Minutes and action item status are maintained and reviewed at subsequent meetings.
Why it matters: SOC 2 requires evidence of management oversight and decision-making. Meeting minutes are the evidence.
Recommendation: Schedule ITLC meetings for: first week of January, April, July, October. Rotate note-taker if possible. Create a minutes template: attendees, topics discussed, decisions made, action items (owner, deadline). Distribute minutes within 1 week. At next meeting, start with action item review. Archive minutes for auditor access.</w:t>
      </w:r>
    </w:p>
  </w:comment>
  <w:comment w:id="8" w:author="PolicyLift Reviewer" w:date="2026-02-10T01:43:45Z" w:initials="PR">
    <w:p w14:paraId="08D28DDA" w14:textId="77777777">
      <w:r>
        <w:rPr>
          <w:rStyle w:val="CommentReference"/>
        </w:rPr>
        <w:annotationRef/>
      </w:r>
      <w:r>
        <w:rPr>
          <w:color w:val="000000"/>
          <w:sz w:val="20"/>
          <w:szCs w:val="20"/>
        </w:rPr>
        <w:t>PROCESS — ITLC Action Item Tracking
What this says: ITLC minutes are distributed to members. At each meeting, prior action items’ status is discussed.
Why it matters: Ensures accountability. If action items slip, ITLC has visibility and can escalate.
Recommendation: Create an action item log (separate from minutes): item ID, description, owner, deadline, status, comments. Update status before each meeting. For overdue items, discuss: reason for delay, new deadline, escalation needed? Archive the log for audit trail.</w:t>
      </w:r>
    </w:p>
  </w:comment>
  <w:comment w:id="9" w:author="PolicyLift Reviewer" w:date="2026-02-10T01:43:45Z" w:initials="PR">
    <w:p w14:paraId="5FDAF0E5" w14:textId="77777777">
      <w:r>
        <w:rPr>
          <w:rStyle w:val="CommentReference"/>
        </w:rPr>
        <w:annotationRef/>
      </w:r>
      <w:r>
        <w:rPr>
          <w:color w:val="000000"/>
          <w:sz w:val="20"/>
          <w:szCs w:val="20"/>
        </w:rPr>
        <w:t>RECURRING — Annual ITLC Charter Review
What this says: Board reviews ITLC charter annually to ensure it remains current and aligned with committee objectives.
Why it matters: Over time, organizational structure and governance needs may change. The charter must evolve accordingly.
Recommendation: Schedule charter review in Q4. CTO/ITLC chair prepares a memo: any role/responsibility changes? membership changes needed? charter amendments? Board votes on any updates. Document the review and approvals. Communicate charter updates to all staff.</w:t>
      </w:r>
    </w:p>
  </w:comment>
  <w:comment w:id="10" w:author="PolicyLift Reviewer" w:date="2026-02-10T01:43:45Z" w:initials="PR">
    <w:p w14:paraId="7C5861A0" w14:textId="77777777">
      <w:r>
        <w:rPr>
          <w:rStyle w:val="CommentReference"/>
        </w:rPr>
        <w:annotationRef/>
      </w:r>
      <w:r>
        <w:rPr>
          <w:color w:val="000000"/>
          <w:sz w:val="20"/>
          <w:szCs w:val="20"/>
        </w:rPr>
        <w:t>PROCESS — ITLC Management Reporting
What this says: ITLC receives reports on technology operations: software development, project performance, technical operations, architecture, and investments.
Why it matters: ITLC needs regular updates on the state of technology and operations to make informed governance decisions.
Recommendation: Create a quarterly management report template: development projects status, technology incidents/issues, infrastructure performance, vendor status, budget/spending updates. CTO or Head of Operations presents at each ITLC meeting. Archive reports for audit trail.</w:t>
      </w:r>
    </w:p>
  </w:comment>
  <w:comment w:id="11" w:author="PolicyLift Reviewer" w:date="2026-02-10T01:43:45Z" w:initials="PR">
    <w:p w14:paraId="502C83CA" w14:textId="77777777">
      <w:r>
        <w:rPr>
          <w:rStyle w:val="CommentReference"/>
        </w:rPr>
        <w:annotationRef/>
      </w:r>
      <w:r>
        <w:rPr>
          <w:color w:val="000000"/>
          <w:sz w:val="20"/>
          <w:szCs w:val="20"/>
        </w:rPr>
        <w:t>COMMITMENT — ITLC Flexibility and Governance Alignment
What this says: ITLC may undertake other activities consistent with the charter, bylaws, and law.
Why it matters: Allows ITLC to adapt to emerging risks without needing charter amendments. Keeps ITLC focused on governance, not operational tasks.
Recommendation: Interpret this as: ITLC may convene ad-hoc to address urgent security/technology issues (e.g., security breach discovered). Document these meetings. Ensure ITLC activities remain governance-level (strategic decisions, policy approval) not operational (day-to-day incident handling).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94443D" w15:done="0"/>
  <w15:commentEx w15:paraId="60A2356A" w15:done="0"/>
  <w15:commentEx w15:paraId="2B9109A6" w15:done="0"/>
  <w15:commentEx w15:paraId="73E8A835" w15:done="0"/>
  <w15:commentEx w15:paraId="528903FB" w15:done="0"/>
  <w15:commentEx w15:paraId="40A81F14" w15:done="0"/>
  <w15:commentEx w15:paraId="5CD01BF3" w15:done="0"/>
  <w15:commentEx w15:paraId="4F52525D" w15:done="0"/>
  <w15:commentEx w15:paraId="08D28DDA" w15:done="0"/>
  <w15:commentEx w15:paraId="5FDAF0E5" w15:done="0"/>
  <w15:commentEx w15:paraId="7C5861A0" w15:done="0"/>
  <w15:commentEx w15:paraId="502C83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E33E60E" w16cex:dateUtc="2026-02-10T01:43:45Z"/>
  <w16cex:commentExtensible w16cex:durableId="08C8888A" w16cex:dateUtc="2026-02-10T01:43:45Z"/>
  <w16cex:commentExtensible w16cex:durableId="535D8116" w16cex:dateUtc="2026-02-10T01:43:45Z"/>
  <w16cex:commentExtensible w16cex:durableId="63C69EF9" w16cex:dateUtc="2026-02-10T01:43:45Z"/>
  <w16cex:commentExtensible w16cex:durableId="69AC2AA1" w16cex:dateUtc="2026-02-10T01:43:45Z"/>
  <w16cex:commentExtensible w16cex:durableId="7B1F0D8E" w16cex:dateUtc="2026-02-10T01:43:45Z"/>
  <w16cex:commentExtensible w16cex:durableId="6AC95005" w16cex:dateUtc="2026-02-10T01:43:45Z"/>
  <w16cex:commentExtensible w16cex:durableId="4C4C7767" w16cex:dateUtc="2026-02-10T01:43:45Z"/>
  <w16cex:commentExtensible w16cex:durableId="1B7FC6DF" w16cex:dateUtc="2026-02-10T01:43:45Z"/>
  <w16cex:commentExtensible w16cex:durableId="5B5728AF" w16cex:dateUtc="2026-02-10T01:43:45Z"/>
  <w16cex:commentExtensible w16cex:durableId="42C8A734" w16cex:dateUtc="2026-02-10T01:43:45Z"/>
  <w16cex:commentExtensible w16cex:durableId="3DC908FB" w16cex:dateUtc="2026-02-10T01:43:4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94443D" w16cid:durableId="7E33E60E"/>
  <w16cid:commentId w16cid:paraId="60A2356A" w16cid:durableId="08C8888A"/>
  <w16cid:commentId w16cid:paraId="2B9109A6" w16cid:durableId="535D8116"/>
  <w16cid:commentId w16cid:paraId="73E8A835" w16cid:durableId="63C69EF9"/>
  <w16cid:commentId w16cid:paraId="528903FB" w16cid:durableId="69AC2AA1"/>
  <w16cid:commentId w16cid:paraId="40A81F14" w16cid:durableId="7B1F0D8E"/>
  <w16cid:commentId w16cid:paraId="5CD01BF3" w16cid:durableId="6AC95005"/>
  <w16cid:commentId w16cid:paraId="4F52525D" w16cid:durableId="4C4C7767"/>
  <w16cid:commentId w16cid:paraId="08D28DDA" w16cid:durableId="1B7FC6DF"/>
  <w16cid:commentId w16cid:paraId="5FDAF0E5" w16cid:durableId="5B5728AF"/>
  <w16cid:commentId w16cid:paraId="7C5861A0" w16cid:durableId="42C8A734"/>
  <w16cid:commentId w16cid:paraId="502C83CA" w16cid:durableId="3DC908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2026-02-10T01:43:45.037Z</dcterms:created>
  <dcterms:modified xsi:type="dcterms:W3CDTF">2026-02-10T01:43:45.037Z</dcterms:modified>
</cp:coreProperties>
</file>

<file path=docProps/custom.xml><?xml version="1.0" encoding="utf-8"?>
<Properties xmlns="http://schemas.openxmlformats.org/officeDocument/2006/custom-properties" xmlns:vt="http://schemas.openxmlformats.org/officeDocument/2006/docPropsVTypes"/>
</file>