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Arial" w:cs="Arial" w:eastAsia="Arial" w:hAnsi="Arial"/>
          <w:b/>
          <w:bCs/>
          <w:color w:val="2B579A"/>
          <w:sz w:val="32"/>
          <w:szCs w:val="32"/>
        </w:rPr>
        <w:t xml:space="preserve">Review Summary</w:t>
      </w:r>
    </w:p>
    <w:p>
      <w:pPr>
        <w:spacing w:before="60" w:after="60"/>
      </w:pPr>
      <w:r>
        <w:rPr>
          <w:rFonts w:ascii="Arial" w:cs="Arial" w:eastAsia="Arial" w:hAnsi="Arial"/>
          <w:i/>
          <w:iCs/>
          <w:sz w:val="22"/>
          <w:szCs w:val="22"/>
        </w:rPr>
        <w:t xml:space="preserve">Document: Personnel Security Policy</w:t>
      </w:r>
    </w:p>
    <w:p>
      <w:pPr>
        <w:spacing w:before="60" w:after="60"/>
      </w:pPr>
      <w:r>
        <w:rPr>
          <w:rFonts w:ascii="Arial" w:cs="Arial" w:eastAsia="Arial" w:hAnsi="Arial"/>
          <w:sz w:val="22"/>
          <w:szCs w:val="22"/>
        </w:rPr>
        <w:t xml:space="preserve">Reviewer: PolicyLift Reviewer</w:t>
      </w:r>
    </w:p>
    <w:p>
      <w:pPr>
        <w:spacing w:before="60" w:after="120"/>
      </w:pPr>
      <w:r>
        <w:rPr>
          <w:rFonts w:ascii="Arial" w:cs="Arial" w:eastAsia="Arial" w:hAnsi="Arial"/>
          <w:sz w:val="22"/>
          <w:szCs w:val="22"/>
        </w:rPr>
        <w:t xml:space="preserve">Review Date: 2026-02-10</w:t>
      </w:r>
    </w:p>
    <w:p>
      <w:pPr>
        <w:pStyle w:val="Heading2"/>
        <w:spacing w:before="160" w:after="100"/>
      </w:pPr>
      <w:r>
        <w:rPr>
          <w:rFonts w:ascii="Arial" w:cs="Arial" w:eastAsia="Arial" w:hAnsi="Arial"/>
          <w:b/>
          <w:bCs/>
          <w:sz w:val="24"/>
          <w:szCs w:val="24"/>
        </w:rPr>
        <w:t xml:space="preserve">Flags by Category</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tblGrid>
      <w:tr>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COMMITMENT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TIMELINE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RECURRING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ROLE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PROCESS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EVIDENCE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LEGAL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SCOPE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r>
    </w:tbl>
    <w:p>
      <w:pPr>
        <w:pStyle w:val="Heading2"/>
        <w:spacing w:before="200" w:after="100"/>
      </w:pPr>
      <w:r>
        <w:rPr>
          <w:rFonts w:ascii="Arial" w:cs="Arial" w:eastAsia="Arial" w:hAnsi="Arial"/>
          <w:b/>
          <w:bCs/>
          <w:sz w:val="24"/>
          <w:szCs w:val="24"/>
        </w:rPr>
        <w:t xml:space="preserve">Top Critical Items Requiring Immediate Attention</w:t>
      </w:r>
    </w:p>
    <w:p>
      <w:pPr>
        <w:pStyle w:val="ListParagraph"/>
        <w:numPr>
          <w:ilvl w:val="0"/>
          <w:numId w:val="2"/>
        </w:numPr>
        <w:spacing w:before="40" w:after="40"/>
      </w:pPr>
      <w:r>
        <w:rPr>
          <w:rFonts w:ascii="Arial" w:cs="Arial" w:eastAsia="Arial" w:hAnsi="Arial"/>
          <w:sz w:val="22"/>
          <w:szCs w:val="22"/>
        </w:rPr>
        <w:t xml:space="preserve">Background checks required for all new employees and contractors</w:t>
      </w:r>
    </w:p>
    <w:p>
      <w:pPr>
        <w:pStyle w:val="ListParagraph"/>
        <w:numPr>
          <w:ilvl w:val="0"/>
          <w:numId w:val="2"/>
        </w:numPr>
        <w:spacing w:before="40" w:after="40"/>
      </w:pPr>
      <w:r>
        <w:rPr>
          <w:rFonts w:ascii="Arial" w:cs="Arial" w:eastAsia="Arial" w:hAnsi="Arial"/>
          <w:sz w:val="22"/>
          <w:szCs w:val="22"/>
        </w:rPr>
        <w:t xml:space="preserve">Offshore devs (4 via agency) need background check verification</w:t>
      </w:r>
    </w:p>
    <w:p>
      <w:pPr>
        <w:pStyle w:val="ListParagraph"/>
        <w:numPr>
          <w:ilvl w:val="0"/>
          <w:numId w:val="2"/>
        </w:numPr>
        <w:spacing w:before="40" w:after="40"/>
      </w:pPr>
      <w:r>
        <w:rPr>
          <w:rFonts w:ascii="Arial" w:cs="Arial" w:eastAsia="Arial" w:hAnsi="Arial"/>
          <w:sz w:val="22"/>
          <w:szCs w:val="22"/>
        </w:rPr>
        <w:t xml:space="preserve">Confidentiality agreements must be signed before accessing sensitive data</w:t>
      </w:r>
    </w:p>
    <w:p>
      <w:pPr>
        <w:pStyle w:val="ListParagraph"/>
        <w:numPr>
          <w:ilvl w:val="0"/>
          <w:numId w:val="2"/>
        </w:numPr>
        <w:spacing w:before="40" w:after="40"/>
      </w:pPr>
      <w:r>
        <w:rPr>
          <w:rFonts w:ascii="Arial" w:cs="Arial" w:eastAsia="Arial" w:hAnsi="Arial"/>
          <w:sz w:val="22"/>
          <w:szCs w:val="22"/>
        </w:rPr>
        <w:t xml:space="preserve">Annual security awareness training is mandatory for all personnel</w:t>
      </w:r>
    </w:p>
    <w:p>
      <w:pPr>
        <w:pStyle w:val="ListParagraph"/>
        <w:numPr>
          <w:ilvl w:val="0"/>
          <w:numId w:val="2"/>
        </w:numPr>
        <w:spacing w:before="40" w:after="40"/>
      </w:pPr>
      <w:r>
        <w:rPr>
          <w:rFonts w:ascii="Arial" w:cs="Arial" w:eastAsia="Arial" w:hAnsi="Arial"/>
          <w:sz w:val="22"/>
          <w:szCs w:val="22"/>
        </w:rPr>
        <w:t xml:space="preserve">Annual acknowledgment of code of conduct and ethical standards required</w:t>
      </w:r>
    </w:p>
    <w:p>
      <w:pPr>
        <w:pStyle w:val="ListParagraph"/>
        <w:numPr>
          <w:ilvl w:val="0"/>
          <w:numId w:val="2"/>
        </w:numPr>
        <w:spacing w:before="40" w:after="40"/>
      </w:pPr>
      <w:r>
        <w:rPr>
          <w:rFonts w:ascii="Arial" w:cs="Arial" w:eastAsia="Arial" w:hAnsi="Arial"/>
          <w:sz w:val="22"/>
          <w:szCs w:val="22"/>
        </w:rPr>
        <w:t xml:space="preserve">Annual performance evaluations by calendar year end</w:t>
      </w:r>
    </w:p>
    <w:p>
      <w:pPr>
        <w:pStyle w:val="ListParagraph"/>
        <w:numPr>
          <w:ilvl w:val="0"/>
          <w:numId w:val="2"/>
        </w:numPr>
        <w:spacing w:before="40" w:after="40"/>
      </w:pPr>
      <w:r>
        <w:rPr>
          <w:rFonts w:ascii="Arial" w:cs="Arial" w:eastAsia="Arial" w:hAnsi="Arial"/>
          <w:sz w:val="22"/>
          <w:szCs w:val="22"/>
        </w:rPr>
        <w:t xml:space="preserve">Separation agreements needed for departing employees to protect IP</w:t>
      </w:r>
    </w:p>
    <w:p>
      <w:pPr>
        <w:pStyle w:val="ListParagraph"/>
        <w:numPr>
          <w:ilvl w:val="0"/>
          <w:numId w:val="2"/>
        </w:numPr>
        <w:spacing w:before="40" w:after="40"/>
      </w:pPr>
      <w:r>
        <w:rPr>
          <w:rFonts w:ascii="Arial" w:cs="Arial" w:eastAsia="Arial" w:hAnsi="Arial"/>
          <w:sz w:val="22"/>
          <w:szCs w:val="22"/>
        </w:rPr>
        <w:t xml:space="preserve">Roles and responsibilities must be defined in written job descriptions</w:t>
      </w:r>
    </w:p>
    <w:p>
      <w:pPr>
        <w:pStyle w:val="Heading2"/>
        <w:spacing w:before="200" w:after="100"/>
      </w:pPr>
      <w:r>
        <w:rPr>
          <w:rFonts w:ascii="Arial" w:cs="Arial" w:eastAsia="Arial" w:hAnsi="Arial"/>
          <w:b/>
          <w:bCs/>
          <w:sz w:val="24"/>
          <w:szCs w:val="24"/>
        </w:rPr>
        <w:t xml:space="preserve">Role Mapping Reference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Role Referenced</w:t>
            </w:r>
          </w:p>
        </w:tc>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Suggested PolicyLift Owner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CEO</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Final approval of hiring, disciplinary actions, contracts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Hiring Manager</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Initiates background checks, pre-hire checklist, qualifications assessment</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Management/Supervisors</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Conduct annual performance evaluations, discuss training needs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All Personnel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Complete background checks, sign confidentiality agreements, attend training</w:t>
            </w:r>
          </w:p>
        </w:tc>
      </w:tr>
    </w:tbl>
    <w:p>
      <w:r>
        <w:br w:type="page"/>
      </w:r>
    </w:p>
    <w:p>
      <w:pPr>
        <w:pStyle w:val="Heading1"/>
        <w:spacing w:before="0" w:after="200"/>
      </w:pPr>
      <w:r>
        <w:rPr>
          <w:rFonts w:ascii="Arial" w:cs="Arial" w:eastAsia="Arial" w:hAnsi="Arial"/>
          <w:b/>
          <w:bCs/>
          <w:sz w:val="32"/>
          <w:szCs w:val="32"/>
        </w:rPr>
        <w:t xml:space="preserve">Personnel Security Policy</w:t>
      </w:r>
    </w:p>
    <w:p>
      <w:pPr>
        <w:spacing w:before="60" w:after="60"/>
      </w:pPr>
      <w:r>
        <w:rPr>
          <w:rFonts w:ascii="Arial" w:cs="Arial" w:eastAsia="Arial" w:hAnsi="Arial"/>
          <w:sz w:val="22"/>
          <w:szCs w:val="22"/>
        </w:rPr>
        <w:t xml:space="preserve">Organization members understand their roles and responsibilities around security and privacy.</w:t>
      </w:r>
    </w:p>
    <w:p>
      <w:pPr>
        <w:spacing w:before="60" w:after="60"/>
      </w:pPr>
    </w:p>
    <w:p>
      <w:pPr>
        <w:pStyle w:val="Heading2"/>
        <w:spacing w:before="200" w:after="100"/>
      </w:pPr>
      <w:r>
        <w:rPr>
          <w:rFonts w:ascii="Arial" w:cs="Arial" w:eastAsia="Arial" w:hAnsi="Arial"/>
          <w:b/>
          <w:bCs/>
          <w:sz w:val="24"/>
          <w:szCs w:val="24"/>
        </w:rPr>
        <w:t xml:space="preserve">Purpose</w:t>
      </w:r>
    </w:p>
    <w:p>
      <w:pPr>
        <w:spacing w:before="60" w:after="60"/>
      </w:pPr>
    </w:p>
    <w:p>
      <w:pPr>
        <w:spacing w:before="60" w:after="60"/>
      </w:pPr>
      <w:r>
        <w:rPr>
          <w:rFonts w:ascii="Arial" w:cs="Arial" w:eastAsia="Arial" w:hAnsi="Arial"/>
          <w:sz w:val="22"/>
          <w:szCs w:val="22"/>
        </w:rPr>
        <w:t xml:space="preserve">This policy establishes the PolicyLift Personnel Security Policy for managing risks from personnel screening, onboarding, termination, transfer and management. The Personnel Security Policy helps the organization implement security best practices concerning personnel processes and events.</w:t>
      </w:r>
    </w:p>
    <w:p>
      <w:pPr>
        <w:spacing w:before="60" w:after="60"/>
      </w:pPr>
    </w:p>
    <w:p>
      <w:pPr>
        <w:pStyle w:val="Heading2"/>
        <w:spacing w:before="200" w:after="100"/>
      </w:pPr>
      <w:r>
        <w:rPr>
          <w:rFonts w:ascii="Arial" w:cs="Arial" w:eastAsia="Arial" w:hAnsi="Arial"/>
          <w:b/>
          <w:bCs/>
          <w:sz w:val="24"/>
          <w:szCs w:val="24"/>
        </w:rPr>
        <w:t xml:space="preserve">Scope</w:t>
      </w:r>
    </w:p>
    <w:p>
      <w:pPr>
        <w:spacing w:before="60" w:after="60"/>
      </w:pPr>
    </w:p>
    <w:p>
      <w:pPr>
        <w:spacing w:before="60" w:after="60"/>
      </w:pPr>
      <w:r>
        <w:rPr>
          <w:rFonts w:ascii="Arial" w:cs="Arial" w:eastAsia="Arial" w:hAnsi="Arial"/>
          <w:sz w:val="22"/>
          <w:szCs w:val="22"/>
        </w:rPr>
        <w:t xml:space="preserve">The scope of this policy applies to all employees, workers and contractors (collectively referred to as “users” or “personnel” in this policy) at PolicyLift.</w:t>
      </w:r>
    </w:p>
    <w:p>
      <w:pPr>
        <w:spacing w:before="60" w:after="60"/>
      </w:pPr>
    </w:p>
    <w:p>
      <w:pPr>
        <w:pStyle w:val="Heading2"/>
        <w:spacing w:before="200" w:after="100"/>
      </w:pPr>
      <w:r>
        <w:rPr>
          <w:rFonts w:ascii="Arial" w:cs="Arial" w:eastAsia="Arial" w:hAnsi="Arial"/>
          <w:b/>
          <w:bCs/>
          <w:sz w:val="24"/>
          <w:szCs w:val="24"/>
        </w:rPr>
        <w:t xml:space="preserve">Policy</w:t>
      </w:r>
    </w:p>
    <w:p>
      <w:pPr>
        <w:spacing w:before="60" w:after="60"/>
      </w:pPr>
    </w:p>
    <w:p>
      <w:pPr>
        <w:spacing w:before="60" w:after="60"/>
      </w:pPr>
      <w:commentRangeStart w:id="0"/>
      <w:r>
        <w:rPr>
          <w:rFonts w:ascii="Arial" w:cs="Arial" w:eastAsia="Arial" w:hAnsi="Arial"/>
          <w:sz w:val="22"/>
          <w:szCs w:val="22"/>
        </w:rPr>
        <w:t xml:space="preserve">All recruitment shall be done after careful scrutiny and examination.</w:t>
      </w:r>
      <w:commentRangeEnd w:id="0"/>
      <w:r>
        <w:rPr>
          <w:rStyle w:val="CommentReference"/>
        </w:rPr>
        <w:commentReference w:id="0"/>
      </w:r>
    </w:p>
    <w:p>
      <w:pPr>
        <w:spacing w:before="60" w:after="60"/>
      </w:pPr>
    </w:p>
    <w:p>
      <w:pPr>
        <w:spacing w:before="60" w:after="60"/>
      </w:pPr>
      <w:commentRangeStart w:id="1"/>
      <w:r>
        <w:rPr>
          <w:rFonts w:ascii="Arial" w:cs="Arial" w:eastAsia="Arial" w:hAnsi="Arial"/>
          <w:sz w:val="22"/>
          <w:szCs w:val="22"/>
        </w:rPr>
        <w:t xml:space="preserve">All users shall have a contractual agreement with PolicyLift for not divulging any confidential or sensitive information to any unauthorized parties.</w:t>
      </w:r>
      <w:commentRangeEnd w:id="1"/>
      <w:r>
        <w:rPr>
          <w:rStyle w:val="CommentReference"/>
        </w:rPr>
        <w:commentReference w:id="1"/>
      </w:r>
    </w:p>
    <w:p>
      <w:pPr>
        <w:spacing w:before="60" w:after="60"/>
      </w:pPr>
    </w:p>
    <w:p>
      <w:pPr>
        <w:spacing w:before="60" w:after="60"/>
      </w:pPr>
      <w:commentRangeStart w:id="2"/>
      <w:r>
        <w:rPr>
          <w:rFonts w:ascii="Arial" w:cs="Arial" w:eastAsia="Arial" w:hAnsi="Arial"/>
          <w:sz w:val="22"/>
          <w:szCs w:val="22"/>
        </w:rPr>
        <w:t xml:space="preserve">At the time of hire, company employees and contractors are required to read and accept the Employee Confidentiality Agreement that includes an intellectual property clause, code of business conduct, ethical standards, and Information Security Policy that includes appropriate use of information technology.</w:t>
      </w:r>
      <w:commentRangeEnd w:id="2"/>
      <w:r>
        <w:rPr>
          <w:rStyle w:val="CommentReference"/>
        </w:rPr>
        <w:commentReference w:id="2"/>
      </w:r>
    </w:p>
    <w:p>
      <w:pPr>
        <w:spacing w:before="60" w:after="60"/>
      </w:pPr>
    </w:p>
    <w:p>
      <w:pPr>
        <w:spacing w:before="60" w:after="60"/>
      </w:pPr>
      <w:commentRangeStart w:id="3"/>
      <w:r>
        <w:rPr>
          <w:rFonts w:ascii="Arial" w:cs="Arial" w:eastAsia="Arial" w:hAnsi="Arial"/>
          <w:sz w:val="22"/>
          <w:szCs w:val="22"/>
        </w:rPr>
        <w:t xml:space="preserve">Personnel, including contractors, are required to formally reaffirm the understanding of the code of conduct and ethical standards on an annual basis.</w:t>
      </w:r>
      <w:commentRangeEnd w:id="3"/>
      <w:r>
        <w:rPr>
          <w:rStyle w:val="CommentReference"/>
        </w:rPr>
        <w:commentReference w:id="3"/>
      </w:r>
    </w:p>
    <w:p>
      <w:pPr>
        <w:spacing w:before="60" w:after="60"/>
      </w:pPr>
    </w:p>
    <w:p>
      <w:pPr>
        <w:spacing w:before="60" w:after="60"/>
      </w:pPr>
      <w:r>
        <w:rPr>
          <w:rFonts w:ascii="Arial" w:cs="Arial" w:eastAsia="Arial" w:hAnsi="Arial"/>
          <w:sz w:val="22"/>
          <w:szCs w:val="22"/>
        </w:rPr>
        <w:t xml:space="preserve">The company maintains an up-to-date Employee Handbook and an (including) up-to-date Sanctions Policy. The sanctions policy mentions that non-compliance with the code of business conduct can lead to termination of employees.</w:t>
      </w:r>
    </w:p>
    <w:p>
      <w:pPr>
        <w:spacing w:before="60" w:after="60"/>
      </w:pPr>
    </w:p>
    <w:p>
      <w:pPr>
        <w:spacing w:before="60" w:after="60"/>
      </w:pPr>
      <w:commentRangeStart w:id="7"/>
      <w:r>
        <w:rPr>
          <w:rFonts w:ascii="Arial" w:cs="Arial" w:eastAsia="Arial" w:hAnsi="Arial"/>
          <w:sz w:val="22"/>
          <w:szCs w:val="22"/>
        </w:rPr>
        <w:t xml:space="preserve">Roles and responsibilities shall be defined in a job description highlighting the responsibilities and required skills for specific roles and communicated to individuals. PolicyLift shall conduct periodic training and awareness programs for all users on information security responsibilities.</w:t>
      </w:r>
      <w:commentRangeEnd w:id="7"/>
      <w:r>
        <w:rPr>
          <w:rStyle w:val="CommentReference"/>
        </w:rPr>
        <w:commentReference w:id="7"/>
      </w:r>
    </w:p>
    <w:p>
      <w:pPr>
        <w:spacing w:before="60" w:after="60"/>
      </w:pPr>
    </w:p>
    <w:p>
      <w:pPr>
        <w:pStyle w:val="Heading2"/>
        <w:spacing w:before="200" w:after="100"/>
      </w:pPr>
      <w:r>
        <w:rPr>
          <w:rFonts w:ascii="Arial" w:cs="Arial" w:eastAsia="Arial" w:hAnsi="Arial"/>
          <w:b/>
          <w:bCs/>
          <w:sz w:val="24"/>
          <w:szCs w:val="24"/>
        </w:rPr>
        <w:t xml:space="preserve">Pre-Employment Checks</w:t>
      </w:r>
    </w:p>
    <w:p>
      <w:pPr>
        <w:spacing w:before="60" w:after="60"/>
      </w:pPr>
    </w:p>
    <w:p>
      <w:pPr>
        <w:spacing w:before="60" w:after="60"/>
      </w:pPr>
      <w:commentRangeStart w:id="4"/>
      <w:r>
        <w:rPr>
          <w:rFonts w:ascii="Arial" w:cs="Arial" w:eastAsia="Arial" w:hAnsi="Arial"/>
          <w:sz w:val="22"/>
          <w:szCs w:val="22"/>
        </w:rPr>
        <w:t xml:space="preserve">The organization shall carry out background and/or reference checks on all new employees and contractors prior to joining the organization in accordance with relevant laws, regulations and ethics, and proportional to the business requirements.</w:t>
      </w:r>
      <w:commentRangeEnd w:id="4"/>
      <w:r>
        <w:rPr>
          <w:rStyle w:val="CommentReference"/>
        </w:rPr>
        <w:commentReference w:id="4"/>
      </w:r>
    </w:p>
    <w:p>
      <w:pPr>
        <w:spacing w:before="60" w:after="60"/>
      </w:pPr>
    </w:p>
    <w:p>
      <w:pPr>
        <w:spacing w:before="60" w:after="60"/>
      </w:pPr>
      <w:commentRangeStart w:id="5"/>
      <w:r>
        <w:rPr>
          <w:rFonts w:ascii="Arial" w:cs="Arial" w:eastAsia="Arial" w:hAnsi="Arial"/>
          <w:sz w:val="22"/>
          <w:szCs w:val="22"/>
        </w:rPr>
        <w:t xml:space="preserve">Management utilizes a pre-hire checklist to ensure that hiring manager has assessed the qualification of candidates during the hiring process to confirm that they can perform the necessary job requirements.</w:t>
      </w:r>
      <w:commentRangeEnd w:id="5"/>
      <w:r>
        <w:rPr>
          <w:rStyle w:val="CommentReference"/>
        </w:rPr>
        <w:commentReference w:id="5"/>
      </w:r>
    </w:p>
    <w:p>
      <w:pPr>
        <w:spacing w:before="60" w:after="60"/>
      </w:pPr>
    </w:p>
    <w:p>
      <w:pPr>
        <w:spacing w:before="60" w:after="60"/>
      </w:pPr>
      <w:commentRangeStart w:id="6"/>
      <w:r>
        <w:rPr>
          <w:rFonts w:ascii="Arial" w:cs="Arial" w:eastAsia="Arial" w:hAnsi="Arial"/>
          <w:sz w:val="22"/>
          <w:szCs w:val="22"/>
        </w:rPr>
        <w:t xml:space="preserve">Employees are required to complete an information security and awareness training upon hire and at least annually.</w:t>
      </w:r>
      <w:commentRangeEnd w:id="6"/>
      <w:r>
        <w:rPr>
          <w:rStyle w:val="CommentReference"/>
        </w:rPr>
        <w:commentReference w:id="6"/>
      </w:r>
    </w:p>
    <w:p>
      <w:pPr>
        <w:spacing w:before="60" w:after="60"/>
      </w:pPr>
    </w:p>
    <w:p>
      <w:pPr>
        <w:spacing w:before="60" w:after="60"/>
      </w:pPr>
      <w:r>
        <w:rPr>
          <w:rFonts w:ascii="Arial" w:cs="Arial" w:eastAsia="Arial" w:hAnsi="Arial"/>
          <w:b/>
          <w:bCs/>
          <w:sz w:val="22"/>
          <w:szCs w:val="22"/>
        </w:rPr>
        <w:t xml:space="preserve">Terms and Conditions of Employment/Engagement</w:t>
      </w:r>
    </w:p>
    <w:p>
      <w:pPr>
        <w:spacing w:before="60" w:after="60"/>
      </w:pPr>
    </w:p>
    <w:p>
      <w:pPr>
        <w:spacing w:before="60" w:after="60"/>
      </w:pPr>
      <w:commentRangeStart w:id="8"/>
      <w:r>
        <w:rPr>
          <w:rFonts w:ascii="Arial" w:cs="Arial" w:eastAsia="Arial" w:hAnsi="Arial"/>
          <w:sz w:val="22"/>
          <w:szCs w:val="22"/>
        </w:rPr>
        <w:t xml:space="preserve">Roles and responsibilities of senior management and information security employees/contractors must be defined in written job descriptions or contractual agreements.</w:t>
      </w:r>
      <w:commentRangeEnd w:id="8"/>
      <w:r>
        <w:rPr>
          <w:rStyle w:val="CommentReference"/>
        </w:rPr>
        <w:commentReference w:id="8"/>
      </w:r>
    </w:p>
    <w:p>
      <w:pPr>
        <w:spacing w:before="60" w:after="60"/>
      </w:pPr>
    </w:p>
    <w:p>
      <w:pPr>
        <w:spacing w:before="60" w:after="60"/>
      </w:pPr>
      <w:r>
        <w:rPr>
          <w:rFonts w:ascii="Arial" w:cs="Arial" w:eastAsia="Arial" w:hAnsi="Arial"/>
          <w:sz w:val="22"/>
          <w:szCs w:val="22"/>
        </w:rPr>
        <w:t xml:space="preserve">For senior management and security related roles, the job description includes duties such as proper oversight, management, and monitoring of security activities, and are communicated to the employees/contractors during the onboarding process.</w:t>
      </w:r>
    </w:p>
    <w:p>
      <w:pPr>
        <w:spacing w:before="60" w:after="60"/>
      </w:pPr>
    </w:p>
    <w:p>
      <w:pPr>
        <w:spacing w:before="60" w:after="60"/>
      </w:pPr>
      <w:commentRangeStart w:id="9"/>
      <w:r>
        <w:rPr>
          <w:rFonts w:ascii="Arial" w:cs="Arial" w:eastAsia="Arial" w:hAnsi="Arial"/>
          <w:sz w:val="22"/>
          <w:szCs w:val="22"/>
        </w:rPr>
        <w:t xml:space="preserve">The job descriptions are reviewed and updated on an as needed basis.  The terms and conditions of employment or engagement with PolicyLift shall mandate compliance and acknowledgment of the Information Security policies by all users. This shall include a clause requiring users to protect the confidentiality of information including an intellectual property clause, code of business conduct, ethical standards, and Information Security Policy that includes appropriate use of information technology, both during and after cessation of employment or contract with PolicyLift.</w:t>
      </w:r>
      <w:commentRangeEnd w:id="9"/>
      <w:r>
        <w:rPr>
          <w:rStyle w:val="CommentReference"/>
        </w:rPr>
        <w:commentReference w:id="9"/>
      </w:r>
    </w:p>
    <w:p>
      <w:pPr>
        <w:spacing w:before="60" w:after="60"/>
      </w:pPr>
    </w:p>
    <w:p>
      <w:pPr>
        <w:spacing w:before="60" w:after="60"/>
      </w:pPr>
      <w:commentRangeStart w:id="10"/>
      <w:r>
        <w:rPr>
          <w:rFonts w:ascii="Arial" w:cs="Arial" w:eastAsia="Arial" w:hAnsi="Arial"/>
          <w:sz w:val="22"/>
          <w:szCs w:val="22"/>
        </w:rPr>
        <w:t xml:space="preserve">All users must be aware of their security responsibilities and reporting lines by acknowledging the acceptable use agreement and through formal security awareness training.</w:t>
      </w:r>
      <w:commentRangeEnd w:id="10"/>
      <w:r>
        <w:rPr>
          <w:rStyle w:val="CommentReference"/>
        </w:rPr>
        <w:commentReference w:id="10"/>
      </w:r>
    </w:p>
    <w:p>
      <w:pPr>
        <w:spacing w:before="60" w:after="60"/>
      </w:pPr>
    </w:p>
    <w:p>
      <w:pPr>
        <w:spacing w:before="60" w:after="60"/>
      </w:pPr>
      <w:r>
        <w:rPr>
          <w:rFonts w:ascii="Arial" w:cs="Arial" w:eastAsia="Arial" w:hAnsi="Arial"/>
          <w:sz w:val="22"/>
          <w:szCs w:val="22"/>
        </w:rPr>
        <w:t xml:space="preserve">All terms and conditions of employment shall comply with the legal requirements under the relevant jurisdiction.</w:t>
      </w:r>
    </w:p>
    <w:p>
      <w:pPr>
        <w:spacing w:before="60" w:after="60"/>
      </w:pPr>
    </w:p>
    <w:p>
      <w:pPr>
        <w:pStyle w:val="Heading2"/>
        <w:spacing w:before="200" w:after="100"/>
      </w:pPr>
      <w:r>
        <w:rPr>
          <w:rFonts w:ascii="Arial" w:cs="Arial" w:eastAsia="Arial" w:hAnsi="Arial"/>
          <w:b/>
          <w:bCs/>
          <w:sz w:val="24"/>
          <w:szCs w:val="24"/>
        </w:rPr>
        <w:t xml:space="preserve">During Employment</w:t>
      </w:r>
    </w:p>
    <w:p>
      <w:pPr>
        <w:spacing w:before="60" w:after="60"/>
      </w:pPr>
    </w:p>
    <w:p>
      <w:pPr>
        <w:spacing w:before="60" w:after="60"/>
      </w:pPr>
      <w:commentRangeStart w:id="11"/>
      <w:r>
        <w:rPr>
          <w:rFonts w:ascii="Arial" w:cs="Arial" w:eastAsia="Arial" w:hAnsi="Arial"/>
          <w:sz w:val="22"/>
          <w:szCs w:val="22"/>
        </w:rPr>
        <w:t xml:space="preserve">PolicyLift shall conduct annual performance evaluations by the end of each calendar year for employees that have been with the organization for more than a year. Respective supervisors shall perform these formal performance evaluations at least annually based on the criteria and objectives outlined in the job descriptions.</w:t>
      </w:r>
      <w:commentRangeEnd w:id="11"/>
      <w:r>
        <w:rPr>
          <w:rStyle w:val="CommentReference"/>
        </w:rPr>
        <w:commentReference w:id="11"/>
      </w:r>
    </w:p>
    <w:p>
      <w:pPr>
        <w:spacing w:before="60" w:after="60"/>
      </w:pPr>
    </w:p>
    <w:p>
      <w:pPr>
        <w:spacing w:before="60" w:after="60"/>
      </w:pPr>
      <w:commentRangeStart w:id="12"/>
      <w:r>
        <w:rPr>
          <w:rFonts w:ascii="Arial" w:cs="Arial" w:eastAsia="Arial" w:hAnsi="Arial"/>
          <w:sz w:val="22"/>
          <w:szCs w:val="22"/>
        </w:rPr>
        <w:t xml:space="preserve">During the annual review the employees and their supervisor discuss relevant training needs, if any, to support in-scope systems. A review of job descriptions shall be performed and any changes shall be discussed.</w:t>
      </w:r>
      <w:commentRangeEnd w:id="12"/>
      <w:r>
        <w:rPr>
          <w:rStyle w:val="CommentReference"/>
        </w:rPr>
        <w:commentReference w:id="12"/>
      </w:r>
    </w:p>
    <w:p>
      <w:pPr>
        <w:spacing w:before="60" w:after="60"/>
      </w:pPr>
    </w:p>
    <w:p>
      <w:pPr>
        <w:spacing w:before="60" w:after="60"/>
      </w:pPr>
      <w:r>
        <w:rPr>
          <w:rFonts w:ascii="Arial" w:cs="Arial" w:eastAsia="Arial" w:hAnsi="Arial"/>
          <w:sz w:val="22"/>
          <w:szCs w:val="22"/>
        </w:rPr>
        <w:t xml:space="preserve">A ticketing system and/or access request form is used to record granting of new or modified access to the system account based on authorization by the management.</w:t>
      </w:r>
    </w:p>
    <w:p>
      <w:pPr>
        <w:spacing w:before="60" w:after="60"/>
      </w:pPr>
    </w:p>
    <w:p>
      <w:pPr>
        <w:pStyle w:val="Heading2"/>
        <w:spacing w:before="200" w:after="100"/>
      </w:pPr>
      <w:r>
        <w:rPr>
          <w:rFonts w:ascii="Arial" w:cs="Arial" w:eastAsia="Arial" w:hAnsi="Arial"/>
          <w:b/>
          <w:bCs/>
          <w:sz w:val="24"/>
          <w:szCs w:val="24"/>
        </w:rPr>
        <w:t xml:space="preserve">Roles and Responsibilities</w:t>
      </w:r>
    </w:p>
    <w:p>
      <w:pPr>
        <w:spacing w:before="60" w:after="60"/>
      </w:pPr>
    </w:p>
    <w:p>
      <w:pPr>
        <w:spacing w:before="60" w:after="60"/>
      </w:pPr>
      <w:commentRangeStart w:id="13"/>
      <w:r>
        <w:rPr>
          <w:rFonts w:ascii="Arial" w:cs="Arial" w:eastAsia="Arial" w:hAnsi="Arial"/>
          <w:sz w:val="22"/>
          <w:szCs w:val="22"/>
        </w:rPr>
        <w:t xml:space="preserve">Organization has established an organization chart that defines organizational roles, reporting lines, and authorities as it relates to development, quality assurance, and security operations of its services. The organization structure is reviewed and updated as needed basis.</w:t>
      </w:r>
      <w:commentRangeEnd w:id="13"/>
      <w:r>
        <w:rPr>
          <w:rStyle w:val="CommentReference"/>
        </w:rPr>
        <w:commentReference w:id="13"/>
      </w:r>
    </w:p>
    <w:p>
      <w:pPr>
        <w:spacing w:before="60" w:after="60"/>
      </w:pPr>
    </w:p>
    <w:p>
      <w:pPr>
        <w:spacing w:before="60" w:after="60"/>
      </w:pPr>
      <w:commentRangeStart w:id="16"/>
      <w:r>
        <w:rPr>
          <w:rFonts w:ascii="Arial" w:cs="Arial" w:eastAsia="Arial" w:hAnsi="Arial"/>
          <w:sz w:val="22"/>
          <w:szCs w:val="22"/>
        </w:rPr>
        <w:t xml:space="preserve">Significant changes to people, roles, and responsibilities for key personnel are internally communicated to all personnel via e-mail or the internal communication tool.</w:t>
      </w:r>
      <w:commentRangeEnd w:id="16"/>
      <w:r>
        <w:rPr>
          <w:rStyle w:val="CommentReference"/>
        </w:rPr>
        <w:commentReference w:id="16"/>
      </w:r>
    </w:p>
    <w:p>
      <w:pPr>
        <w:spacing w:before="60" w:after="60"/>
      </w:pPr>
    </w:p>
    <w:p>
      <w:pPr>
        <w:pStyle w:val="Heading2"/>
        <w:spacing w:before="200" w:after="100"/>
      </w:pPr>
      <w:r>
        <w:rPr>
          <w:rFonts w:ascii="Arial" w:cs="Arial" w:eastAsia="Arial" w:hAnsi="Arial"/>
          <w:b/>
          <w:bCs/>
          <w:sz w:val="24"/>
          <w:szCs w:val="24"/>
        </w:rPr>
        <w:t xml:space="preserve">Termination</w:t>
      </w:r>
    </w:p>
    <w:p>
      <w:pPr>
        <w:spacing w:before="60" w:after="60"/>
      </w:pPr>
    </w:p>
    <w:p>
      <w:pPr>
        <w:spacing w:before="60" w:after="60"/>
      </w:pPr>
      <w:commentRangeStart w:id="14"/>
      <w:r>
        <w:rPr>
          <w:rFonts w:ascii="Arial" w:cs="Arial" w:eastAsia="Arial" w:hAnsi="Arial"/>
          <w:sz w:val="22"/>
          <w:szCs w:val="22"/>
        </w:rPr>
        <w:t xml:space="preserve">The organization shall consider creating a separation agreement to safeguard PolicyLift and its customers’ Intellectual Property Rights and confidential information at the time of terminating their employment or business relationship with PolicyLift.</w:t>
      </w:r>
      <w:commentRangeEnd w:id="14"/>
      <w:r>
        <w:rPr>
          <w:rStyle w:val="CommentReference"/>
        </w:rPr>
        <w:commentReference w:id="14"/>
      </w:r>
    </w:p>
    <w:p>
      <w:pPr>
        <w:spacing w:before="60" w:after="60"/>
      </w:pPr>
    </w:p>
    <w:p>
      <w:pPr>
        <w:pStyle w:val="Heading2"/>
        <w:spacing w:before="200" w:after="100"/>
      </w:pPr>
      <w:r>
        <w:rPr>
          <w:rFonts w:ascii="Arial" w:cs="Arial" w:eastAsia="Arial" w:hAnsi="Arial"/>
          <w:b/>
          <w:bCs/>
          <w:sz w:val="24"/>
          <w:szCs w:val="24"/>
        </w:rPr>
        <w:t xml:space="preserve">Contractors</w:t>
      </w:r>
    </w:p>
    <w:p>
      <w:pPr>
        <w:spacing w:before="60" w:after="60"/>
      </w:pPr>
    </w:p>
    <w:p>
      <w:pPr>
        <w:spacing w:before="60" w:after="60"/>
      </w:pPr>
      <w:commentRangeStart w:id="15"/>
      <w:r>
        <w:rPr>
          <w:rFonts w:ascii="Arial" w:cs="Arial" w:eastAsia="Arial" w:hAnsi="Arial"/>
          <w:sz w:val="22"/>
          <w:szCs w:val="22"/>
        </w:rPr>
        <w:t xml:space="preserve">All contractors engaged with PolicyLift shall have a contractual agreement in place with PolicyLift for not divulging any confidential or sensitive information to any unauthorized parties both during and after the cessation of the contract with PolicyLift.</w:t>
      </w:r>
      <w:commentRangeEnd w:id="15"/>
      <w:r>
        <w:rPr>
          <w:rStyle w:val="CommentReference"/>
        </w:rPr>
        <w:commentReference w:id="15"/>
      </w:r>
    </w:p>
    <w:p>
      <w:pPr>
        <w:spacing w:before="60" w:after="60"/>
      </w:pPr>
    </w:p>
    <w:p>
      <w:pPr>
        <w:spacing w:before="60" w:after="60"/>
      </w:pPr>
      <w:r>
        <w:rPr>
          <w:rFonts w:ascii="Arial" w:cs="Arial" w:eastAsia="Arial" w:hAnsi="Arial"/>
          <w:sz w:val="22"/>
          <w:szCs w:val="22"/>
        </w:rPr>
        <w:t xml:space="preserve">The terms and conditions of engagement with PolicyLift shall mandate compliance with Information Security policies. In addition, contractors shall acknowledge their security responsibilities through acceptable use agreements.</w:t>
      </w:r>
    </w:p>
    <w:p>
      <w:pPr>
        <w:spacing w:before="60" w:after="60"/>
      </w:pPr>
    </w:p>
    <w:p>
      <w:pPr>
        <w:pStyle w:val="Heading2"/>
        <w:spacing w:before="200" w:after="100"/>
      </w:pPr>
      <w:r>
        <w:rPr>
          <w:rFonts w:ascii="Arial" w:cs="Arial" w:eastAsia="Arial" w:hAnsi="Arial"/>
          <w:b/>
          <w:bCs/>
          <w:sz w:val="24"/>
          <w:szCs w:val="24"/>
        </w:rPr>
        <w:t xml:space="preserve">Security Awareness and Training Program</w:t>
      </w:r>
    </w:p>
    <w:p>
      <w:pPr>
        <w:spacing w:before="60" w:after="60"/>
      </w:pPr>
    </w:p>
    <w:p>
      <w:pPr>
        <w:spacing w:before="60" w:after="60"/>
      </w:pPr>
      <w:commentRangeStart w:id="17"/>
      <w:r>
        <w:rPr>
          <w:rFonts w:ascii="Arial" w:cs="Arial" w:eastAsia="Arial" w:hAnsi="Arial"/>
          <w:sz w:val="22"/>
          <w:szCs w:val="22"/>
        </w:rPr>
        <w:t xml:space="preserve">PolicyLift must establish formal information security awareness, education, and training programs for all employees and, where relevant, contractors and/or third parties, appropriate for their assigned job functions.</w:t>
      </w:r>
      <w:commentRangeEnd w:id="17"/>
      <w:r>
        <w:rPr>
          <w:rStyle w:val="CommentReference"/>
        </w:rPr>
        <w:commentReference w:id="17"/>
      </w:r>
    </w:p>
    <w:p>
      <w:pPr>
        <w:spacing w:before="60" w:after="60"/>
      </w:pPr>
    </w:p>
    <w:p>
      <w:pPr>
        <w:spacing w:before="60" w:after="60"/>
      </w:pPr>
      <w:commentRangeStart w:id="18"/>
      <w:r>
        <w:rPr>
          <w:rFonts w:ascii="Arial" w:cs="Arial" w:eastAsia="Arial" w:hAnsi="Arial"/>
          <w:sz w:val="22"/>
          <w:szCs w:val="22"/>
        </w:rPr>
        <w:t xml:space="preserve">Employees shall undergo mandatory security awareness training at least annually, and records of such training shall be maintained.</w:t>
      </w:r>
      <w:commentRangeEnd w:id="18"/>
      <w:r>
        <w:rPr>
          <w:rStyle w:val="CommentReference"/>
        </w:rPr>
        <w:commentReference w:id="18"/>
      </w:r>
    </w:p>
    <w:p>
      <w:pPr>
        <w:spacing w:before="60" w:after="60"/>
      </w:pPr>
    </w:p>
    <w:p>
      <w:pPr>
        <w:spacing w:before="60" w:after="60"/>
      </w:pPr>
      <w:commentRangeStart w:id="20"/>
      <w:commentRangeStart w:id="19"/>
      <w:r>
        <w:rPr>
          <w:rFonts w:ascii="Arial" w:cs="Arial" w:eastAsia="Arial" w:hAnsi="Arial"/>
          <w:sz w:val="22"/>
          <w:szCs w:val="22"/>
        </w:rPr>
        <w:t xml:space="preserve">All PolicyLift employees are required to annually acknowledge that they have read and understood the security policies and procedures. Specialized training is scheduled at intervals for different units in the organization and/or when there are significant changes to the information systems.</w:t>
      </w:r>
      <w:commentRangeEnd w:id="19"/>
      <w:r>
        <w:rPr>
          <w:rStyle w:val="CommentReference"/>
        </w:rPr>
        <w:commentReference w:id="19"/>
      </w:r>
      <w:commentRangeEnd w:id="20"/>
      <w:r>
        <w:rPr>
          <w:rStyle w:val="CommentReference"/>
        </w:rPr>
        <w:commentReference w:id="20"/>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PolicyLift Reviewer" w:date="2026-02-10T01:43:53Z" w:initials="PR">
    <w:p w14:paraId="4104EC4A" w14:textId="77777777">
      <w:r>
        <w:rPr>
          <w:rStyle w:val="CommentReference"/>
        </w:rPr>
        <w:annotationRef/>
      </w:r>
      <w:r>
        <w:rPr>
          <w:color w:val="000000"/>
          <w:sz w:val="20"/>
          <w:szCs w:val="20"/>
        </w:rPr>
        <w:t>COMMITMENT — Careful Recruitment and Scrutiny Process
What this says: All recruitment must involve careful scrutiny and examination of candidates.
Why it matters: Vetting process is the first line of defense against hiring security risks. Sets the foundation for personnel security.
Recommendation: Create a hiring process document: job description, skills assessment, interviews (technical + security/cultural fit), reference checks, background check. Document the process and maintain hiring files for all 9 staff. For offshore devs via agency, verify the agency followed similar vetting.</w:t>
      </w:r>
    </w:p>
  </w:comment>
  <w:comment w:id="1" w:author="PolicyLift Reviewer" w:date="2026-02-10T01:43:53Z" w:initials="PR">
    <w:p w14:paraId="10A815F0" w14:textId="77777777">
      <w:r>
        <w:rPr>
          <w:rStyle w:val="CommentReference"/>
        </w:rPr>
        <w:annotationRef/>
      </w:r>
      <w:r>
        <w:rPr>
          <w:color w:val="000000"/>
          <w:sz w:val="20"/>
          <w:szCs w:val="20"/>
        </w:rPr>
        <w:t>COMMITMENT — Confidentiality Agreements for All Personnel
What this says: All employees and contractors must sign contractual agreements protecting PolicyLift’s confidential information.
Why it matters: Legal protection against data theft or disclosure. Critical for 4 offshore devs who will access customer data and source code.
Recommendation: Maintain a master list of all personnel with confidentiality agreement on file. For offshore devs via agency, confirm the agency has them sign agreements (or PolicyLift signs directly). Include reinstatement: confidentiality obligations continue after employment ends. Store agreements in secure location with access log.</w:t>
      </w:r>
    </w:p>
  </w:comment>
  <w:comment w:id="2" w:author="PolicyLift Reviewer" w:date="2026-02-10T01:43:53Z" w:initials="PR">
    <w:p w14:paraId="1BE83768" w14:textId="77777777">
      <w:r>
        <w:rPr>
          <w:rStyle w:val="CommentReference"/>
        </w:rPr>
        <w:annotationRef/>
      </w:r>
      <w:r>
        <w:rPr>
          <w:color w:val="000000"/>
          <w:sz w:val="20"/>
          <w:szCs w:val="20"/>
        </w:rPr>
        <w:t>COMMITMENT — Mandatory Onboarding Acknowledgments
What this says: All new hires must read and accept confidentiality agreement, employee handbook, code of conduct, and Information Security Policy at time of hire.
Why it matters: Creates documented evidence that personnel understand their obligations. SOC 2 auditors will look for acknowledgment records.
Recommendation: Create an onboarding checklist: confidentiality agreement signed, handbook read, code of conduct acknowledged, security policy acknowledged, training completed. For each new hire (and offshore dev), maintain dated signatures/receipts. Store in personnel file. Include offshore devs in this process.</w:t>
      </w:r>
    </w:p>
  </w:comment>
  <w:comment w:id="3" w:author="PolicyLift Reviewer" w:date="2026-02-10T01:43:53Z" w:initials="PR">
    <w:p w14:paraId="61459819" w14:textId="77777777">
      <w:r>
        <w:rPr>
          <w:rStyle w:val="CommentReference"/>
        </w:rPr>
        <w:annotationRef/>
      </w:r>
      <w:r>
        <w:rPr>
          <w:color w:val="000000"/>
          <w:sz w:val="20"/>
          <w:szCs w:val="20"/>
        </w:rPr>
        <w:t>RECURRING — Annual Code of Conduct and Ethical Standards Reaffirmation
What this says: All personnel must formally reaffirm understanding of code of conduct and ethical standards annually.
Why it matters: Refreshes awareness and creates annual evidence of acknowledgment. Signals that compliance is ongoing, not one-time.
Recommendation: In Q1 or Q4, send acknowledgment form to all staff (including offshore devs) requesting signature/email confirmation of understanding. Track completion rates. Non-completion should trigger manager follow-up. Archive confirmations for audit evidence.</w:t>
      </w:r>
    </w:p>
  </w:comment>
  <w:comment w:id="4" w:author="PolicyLift Reviewer" w:date="2026-02-10T01:43:53Z" w:initials="PR">
    <w:p w14:paraId="1D6D3509" w14:textId="77777777">
      <w:r>
        <w:rPr>
          <w:rStyle w:val="CommentReference"/>
        </w:rPr>
        <w:annotationRef/>
      </w:r>
      <w:r>
        <w:rPr>
          <w:color w:val="000000"/>
          <w:sz w:val="20"/>
          <w:szCs w:val="20"/>
        </w:rPr>
        <w:t>COMMITMENT — Background and Reference Checks Required
What this says: All new employees and contractors must complete background and/or reference checks per relevant laws and ethics, proportional to business requirements.
Why it matters: Identifies history of fraud, violence, or security incidents. Proportionality means offshore devs and contractors may require simpler checks than on-site staff.
Recommendation: For new hires, document: background check vendor used, check date, results summary (pass/fail/concerns), approver. For current offshore devs via agency, confirm with agency that background checks were completed. Create a background check log (names, dates, results). Any concerns should be escalated to CEO.</w:t>
      </w:r>
    </w:p>
  </w:comment>
  <w:comment w:id="5" w:author="PolicyLift Reviewer" w:date="2026-02-10T01:43:53Z" w:initials="PR">
    <w:p w14:paraId="3E1863D4" w14:textId="77777777">
      <w:r>
        <w:rPr>
          <w:rStyle w:val="CommentReference"/>
        </w:rPr>
        <w:annotationRef/>
      </w:r>
      <w:r>
        <w:rPr>
          <w:color w:val="000000"/>
          <w:sz w:val="20"/>
          <w:szCs w:val="20"/>
        </w:rPr>
        <w:t>PROCESS — Pre-Hire Qualification Checklist
What this says: Hiring managers use a pre-hire checklist to confirm candidates can perform required job functions.
Why it matters: Ensures hiring decisions are documented and competency is verified. Helps prevent under-qualified hires who might create security risks.
Recommendation: Create a pre-hire checklist template: job requirements, candidate qualifications verified, technical skills assessed, references contacted, background check initiated. Document for each hire. For offshore devs, confirm the agency conducted similar assessments.</w:t>
      </w:r>
    </w:p>
  </w:comment>
  <w:comment w:id="6" w:author="PolicyLift Reviewer" w:date="2026-02-10T01:43:53Z" w:initials="PR">
    <w:p w14:paraId="15451E3C" w14:textId="77777777">
      <w:r>
        <w:rPr>
          <w:rStyle w:val="CommentReference"/>
        </w:rPr>
        <w:annotationRef/>
      </w:r>
      <w:r>
        <w:rPr>
          <w:color w:val="000000"/>
          <w:sz w:val="20"/>
          <w:szCs w:val="20"/>
        </w:rPr>
        <w:t>RECURRING — Mandatory Security Awareness Training (Hire + Annual)
What this says: All employees must complete security awareness training at hire time and at least annually thereafter.
Why it matters: SOC 2 requires evidence of personnel training. Offshore devs need to understand PolicyLift’s security policies.
Recommendation: Develop a security awareness training module (e.g., Zoom session, online course) covering: data handling, password hygiene, incident reporting, clean desk, remote work security. Require all new hires to complete within first week. Schedule annual training in Q1. Track attendance and completion dates. Include offshore devs.</w:t>
      </w:r>
    </w:p>
  </w:comment>
  <w:comment w:id="7" w:author="PolicyLift Reviewer" w:date="2026-02-10T01:43:53Z" w:initials="PR">
    <w:p w14:paraId="047609B3" w14:textId="77777777">
      <w:r>
        <w:rPr>
          <w:rStyle w:val="CommentReference"/>
        </w:rPr>
        <w:annotationRef/>
      </w:r>
      <w:r>
        <w:rPr>
          <w:color w:val="000000"/>
          <w:sz w:val="20"/>
          <w:szCs w:val="20"/>
        </w:rPr>
        <w:t>PROCESS — Written Job Descriptions with Roles and Responsibilities
What this says: Job descriptions must define roles, responsibilities, and required skills. Communicated to employees.
Why it matters: Clarity on who owns what security responsibilities. For a 9-person startup, this prevents gaps (e.g., ’who is responsible for patch management?’).
Recommendation: For each of the 9 staff (including developer(s)), create or update job description including security responsibilities. Examples: ’CTO: owns incident response and vulnerability management’, ’All devs: report security vulnerabilities immediately’. For offshore devs, provide job descriptions defining their scope and security obligations.</w:t>
      </w:r>
    </w:p>
  </w:comment>
  <w:comment w:id="8" w:author="PolicyLift Reviewer" w:date="2026-02-10T01:43:53Z" w:initials="PR">
    <w:p w14:paraId="261B6932" w14:textId="77777777">
      <w:r>
        <w:rPr>
          <w:rStyle w:val="CommentReference"/>
        </w:rPr>
        <w:annotationRef/>
      </w:r>
      <w:r>
        <w:rPr>
          <w:color w:val="000000"/>
          <w:sz w:val="20"/>
          <w:szCs w:val="20"/>
        </w:rPr>
        <w:t>PROCESS — Senior Management and Security Role Definition
What this says: Senior management and security staff job descriptions must define oversight, management, and monitoring of security activities.
Why it matters: Establishes accountability for security decisions and activities.
Recommendation: Document in CTO’s job description: security strategy, incident response, vulnerability management, policy oversight. For Head of Operations: operational security, training, compliance tracking. For CEO: ultimate accountability for security posture and risk decisions.</w:t>
      </w:r>
    </w:p>
  </w:comment>
  <w:comment w:id="9" w:author="PolicyLift Reviewer" w:date="2026-02-10T01:43:53Z" w:initials="PR">
    <w:p w14:paraId="17AF32CC" w14:textId="77777777">
      <w:r>
        <w:rPr>
          <w:rStyle w:val="CommentReference"/>
        </w:rPr>
        <w:annotationRef/>
      </w:r>
      <w:r>
        <w:rPr>
          <w:color w:val="000000"/>
          <w:sz w:val="20"/>
          <w:szCs w:val="20"/>
        </w:rPr>
        <w:t>COMMITMENT — Employment Terms Mandate Security Compliance
What this says: Employment/engagement terms must require all personnel to acknowledge and comply with Information Security policies.
Why it matters: Creates contractual obligation for security compliance. Applies to 4 offshore devs via agency engagement.
Recommendation: Ensure employee handbook or engagement letter includes: ’Employee agrees to comply with all Information Security policies and procedures’, ’Employee agrees to report security incidents immediately’, ’Confidentiality obligations continue after employment ends’. For offshore devs, confirm agency engagement includes similar language.</w:t>
      </w:r>
    </w:p>
  </w:comment>
  <w:comment w:id="10" w:author="PolicyLift Reviewer" w:date="2026-02-10T01:43:53Z" w:initials="PR">
    <w:p w14:paraId="754555EF" w14:textId="77777777">
      <w:r>
        <w:rPr>
          <w:rStyle w:val="CommentReference"/>
        </w:rPr>
        <w:annotationRef/>
      </w:r>
      <w:r>
        <w:rPr>
          <w:color w:val="000000"/>
          <w:sz w:val="20"/>
          <w:szCs w:val="20"/>
        </w:rPr>
        <w:t>COMMITMENT — Acceptable Use Agreement Acknowledgment
What this says: Personnel must be aware of security responsibilities and reporting lines by acknowledging acceptable use agreement and attending training.
Why it matters: Ensures personnel know what’s expected (data use, incident reporting, clean desk, etc.) and who to contact with questions.
Recommendation: Create an acceptable use policy (or include in handbook) covering: appropriate use of IT resources, data handling, incident reporting, consequences of violations. Require all staff (including offshore devs) to sign acknowledgment. Provide translated version if needed for international team.</w:t>
      </w:r>
    </w:p>
  </w:comment>
  <w:comment w:id="11" w:author="PolicyLift Reviewer" w:date="2026-02-10T01:43:53Z" w:initials="PR">
    <w:p w14:paraId="05CE8A60" w14:textId="77777777">
      <w:r>
        <w:rPr>
          <w:rStyle w:val="CommentReference"/>
        </w:rPr>
        <w:annotationRef/>
      </w:r>
      <w:r>
        <w:rPr>
          <w:color w:val="000000"/>
          <w:sz w:val="20"/>
          <w:szCs w:val="20"/>
        </w:rPr>
        <w:t>RECURRING — Annual Performance Evaluations (Calendar Year End)
What this says: Formal performance evaluations must be conducted by calendar year end for employees with 1+ year tenure.
Why it matters: Creates opportunity to discuss performance, training needs, and security responsibilities. Documented evaluations are personnel file evidence.
Recommendation: Schedule performance evaluations in October-November for all eligible staff. Document: performance vs. job description, security responsibility adherence, training needs, goals for next year. For offshore devs via agency, request annual performance summaries from agency. Archive evaluations in personnel files.</w:t>
      </w:r>
    </w:p>
  </w:comment>
  <w:comment w:id="12" w:author="PolicyLift Reviewer" w:date="2026-02-10T01:43:53Z" w:initials="PR">
    <w:p w14:paraId="2807CEAE" w14:textId="77777777">
      <w:r>
        <w:rPr>
          <w:rStyle w:val="CommentReference"/>
        </w:rPr>
        <w:annotationRef/>
      </w:r>
      <w:r>
        <w:rPr>
          <w:color w:val="000000"/>
          <w:sz w:val="20"/>
          <w:szCs w:val="20"/>
        </w:rPr>
        <w:t>RECURRING — Annual Training Needs Assessment During Performance Review
What this says: During annual review, employees and supervisors discuss training needs to support in-scope systems.
Why it matters: Identifies skill gaps. For offshore devs, may reveal need for specific technical training or security training.
Recommendation: Add training needs discussion to annual review meeting. Document: employee training requests, supervisor assessment of business value, approved training, timeline. Examples: ’Developer needs AWS security certification’, ’Offshore team needs GDPR training’. Track training completion and document in personnel files.</w:t>
      </w:r>
    </w:p>
  </w:comment>
  <w:comment w:id="13" w:author="PolicyLift Reviewer" w:date="2026-02-10T01:43:53Z" w:initials="PR">
    <w:p w14:paraId="5F57BD46" w14:textId="77777777">
      <w:r>
        <w:rPr>
          <w:rStyle w:val="CommentReference"/>
        </w:rPr>
        <w:annotationRef/>
      </w:r>
      <w:r>
        <w:rPr>
          <w:color w:val="000000"/>
          <w:sz w:val="20"/>
          <w:szCs w:val="20"/>
        </w:rPr>
        <w:t>PROCESS — Organization Chart with Clear Reporting Lines and Authorities
What this says: An organization chart must define roles, reporting lines, and authorities for development, QA, and security operations.
Why it matters: Clarity on who is accountable for what. For SOC 2, auditors expect to see clear governance structure.
Recommendation: Create an organization chart showing all 9 staff + 4 offshore devs: names, titles, reporting relationships, primary security responsibilities. Example: ’CTO (Raghav) owns security’, ’Head of Operations owns compliance tracking’, ’All devs report to CTO’. Update chart annually or when there are role changes.</w:t>
      </w:r>
    </w:p>
  </w:comment>
  <w:comment w:id="14" w:author="PolicyLift Reviewer" w:date="2026-02-10T01:43:53Z" w:initials="PR">
    <w:p w14:paraId="1E945E68" w14:textId="77777777">
      <w:r>
        <w:rPr>
          <w:rStyle w:val="CommentReference"/>
        </w:rPr>
        <w:annotationRef/>
      </w:r>
      <w:r>
        <w:rPr>
          <w:color w:val="000000"/>
          <w:sz w:val="20"/>
          <w:szCs w:val="20"/>
        </w:rPr>
        <w:t>LEGAL — Separation Agreements for Departing Personnel
What this says: PolicyLift should create separation agreements with departing employees to protect IP and confidential information.
Why it matters: Prevents departing staff (especially developers) from taking code or customer data. Important for 4 offshore devs if relationship ends.
Recommendation: Before any employee/contractor exit, execute separation agreement covering: return of equipment, continuation of confidentiality obligations, IP ownership, non-compete (if applicable per local law). Document agreement in personnel file. For offshore devs, ensure agency handles this or PolicyLift signs directly.</w:t>
      </w:r>
    </w:p>
  </w:comment>
  <w:comment w:id="15" w:author="PolicyLift Reviewer" w:date="2026-02-10T01:43:53Z" w:initials="PR">
    <w:p w14:paraId="6E73F531" w14:textId="77777777">
      <w:r>
        <w:rPr>
          <w:rStyle w:val="CommentReference"/>
        </w:rPr>
        <w:annotationRef/>
      </w:r>
      <w:r>
        <w:rPr>
          <w:color w:val="000000"/>
          <w:sz w:val="20"/>
          <w:szCs w:val="20"/>
        </w:rPr>
        <w:t>COMMITMENT — Contractor Confidentiality and Security Obligations
What this says: All contractors must have contractual agreements protecting confidentiality and mandating compliance with security policies during and after engagement.
Why it matters: Critical for 4 offshore devs. Same protections as employees but via contract.
Recommendation: For offshore dev engagement, ensure contract includes: confidentiality clause (during and post-engagement), security policy compliance mandate, incident reporting requirement, disciplinary clause for violations. Review contract with agency. Store contract in accessible location for reference.</w:t>
      </w:r>
    </w:p>
  </w:comment>
  <w:comment w:id="16" w:author="PolicyLift Reviewer" w:date="2026-02-10T01:43:53Z" w:initials="PR">
    <w:p w14:paraId="79CBAB38" w14:textId="77777777">
      <w:r>
        <w:rPr>
          <w:rStyle w:val="CommentReference"/>
        </w:rPr>
        <w:annotationRef/>
      </w:r>
      <w:r>
        <w:rPr>
          <w:color w:val="000000"/>
          <w:sz w:val="20"/>
          <w:szCs w:val="20"/>
        </w:rPr>
        <w:t>PROCESS — Internal Communication of Personnel Changes
What this says: Significant changes (new hires, departures, role changes, responsibilities) must be communicated to all personnel.
Why it matters: Ensures team knows who to contact for what. Prevents confusion about security responsibilities after role changes.
Recommendation: When there are significant changes (new developer hire, CTO’s responsibilities expanding, offshore dev focus area changes), send email to all staff summarizing the change. Example: ’New developer Sarah joined; she owns mobile app security testing’. Update organization chart and job descriptions simultaneously.</w:t>
      </w:r>
    </w:p>
  </w:comment>
  <w:comment w:id="17" w:author="PolicyLift Reviewer" w:date="2026-02-10T01:43:53Z" w:initials="PR">
    <w:p w14:paraId="04EBBECC" w14:textId="77777777">
      <w:r>
        <w:rPr>
          <w:rStyle w:val="CommentReference"/>
        </w:rPr>
        <w:annotationRef/>
      </w:r>
      <w:r>
        <w:rPr>
          <w:color w:val="000000"/>
          <w:sz w:val="20"/>
          <w:szCs w:val="20"/>
        </w:rPr>
        <w:t>COMMITMENT — Formal Security Awareness and Training Program
What this says: PolicyLift must establish formal security awareness, education, and training programs for employees and contractors appropriate for their job functions.
Why it matters: SOC 2 requires evidence of training. With 4 offshore devs in different locations, program must be accessible and documented.
Recommendation: Develop a security training curriculum: foundational (all staff), role-specific (developers, ops staff), and emerging topics (new threats, tool updates). Deliver via online course, video, or in-person training. Document: curriculum, delivery method, participants, completion dates. Include offshore devs and track completion.</w:t>
      </w:r>
    </w:p>
  </w:comment>
  <w:comment w:id="18" w:author="PolicyLift Reviewer" w:date="2026-02-10T01:43:53Z" w:initials="PR">
    <w:p w14:paraId="1EBB7A17" w14:textId="77777777">
      <w:r>
        <w:rPr>
          <w:rStyle w:val="CommentReference"/>
        </w:rPr>
        <w:annotationRef/>
      </w:r>
      <w:r>
        <w:rPr>
          <w:color w:val="000000"/>
          <w:sz w:val="20"/>
          <w:szCs w:val="20"/>
        </w:rPr>
        <w:t>RECURRING — Annual Mandatory Security Awareness Training with Documentation
What this says: All employees must undergo mandatory security awareness training annually. Records must be maintained.
Why it matters: SOC 2 auditors will request training records to verify compliance. Annual cadence ensures knowledge stays current.
Recommendation: Schedule annual training (e.g., Q1 each year). Use an online platform (e.g., Coursera, Techtarget) or internal video with sign-off. Create a training tracker: employee name, training date, topic, completion status. For offshore devs, ensure training is accessible (time zone, language). Archive records for audit trail.</w:t>
      </w:r>
    </w:p>
  </w:comment>
  <w:comment w:id="19" w:author="PolicyLift Reviewer" w:date="2026-02-10T01:43:53Z" w:initials="PR">
    <w:p w14:paraId="0944FEB6" w14:textId="77777777">
      <w:r>
        <w:rPr>
          <w:rStyle w:val="CommentReference"/>
        </w:rPr>
        <w:annotationRef/>
      </w:r>
      <w:r>
        <w:rPr>
          <w:color w:val="000000"/>
          <w:sz w:val="20"/>
          <w:szCs w:val="20"/>
        </w:rPr>
        <w:t>RECURRING — Annual Security Policy Acknowledgment
What this says: All employees must annually acknowledge reading and understanding security policies and procedures.
Why it matters: Creates evidence of continuous compliance. Different from one-time onboarding acknowledgment.
Recommendation: In Q4 each year, send acknowledgment form asking: ’I have read and understand PolicyLift’s security policies’ with date and signature (or email confirmation). For offshore devs, provide translated summary if needed. Collect responses and document completion. Non-completion should trigger manager follow-up and is tracked.</w:t>
      </w:r>
    </w:p>
  </w:comment>
  <w:comment w:id="20" w:author="PolicyLift Reviewer" w:date="2026-02-10T01:43:53Z" w:initials="PR">
    <w:p w14:paraId="451F6007" w14:textId="77777777">
      <w:r>
        <w:rPr>
          <w:rStyle w:val="CommentReference"/>
        </w:rPr>
        <w:annotationRef/>
      </w:r>
      <w:r>
        <w:rPr>
          <w:color w:val="000000"/>
          <w:sz w:val="20"/>
          <w:szCs w:val="20"/>
        </w:rPr>
        <w:t>RECURRING — Role-Specific and Emerging Threat Training
What this says: Specialized training is scheduled for different business units and when there are significant systems changes or new threats.
Why it matters: Generic training isn’t sufficient. Developers need different training than ops staff. Emerging threats require timely education.
Recommendation: Create specialized training modules: ’Secure development practices’ (for developers), ’Incident response procedures’ (for CTO/ops), ’Data handling’ (for all staff). Schedule developer training 2x/year. Schedule ops-specific training 1x/year. When new threats emerge (ransomware trend, new vulnerability type), schedule emergency training. Document all training.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04EC4A" w15:done="0"/>
  <w15:commentEx w15:paraId="10A815F0" w15:done="0"/>
  <w15:commentEx w15:paraId="1BE83768" w15:done="0"/>
  <w15:commentEx w15:paraId="61459819" w15:done="0"/>
  <w15:commentEx w15:paraId="1D6D3509" w15:done="0"/>
  <w15:commentEx w15:paraId="3E1863D4" w15:done="0"/>
  <w15:commentEx w15:paraId="15451E3C" w15:done="0"/>
  <w15:commentEx w15:paraId="047609B3" w15:done="0"/>
  <w15:commentEx w15:paraId="261B6932" w15:done="0"/>
  <w15:commentEx w15:paraId="17AF32CC" w15:done="0"/>
  <w15:commentEx w15:paraId="754555EF" w15:done="0"/>
  <w15:commentEx w15:paraId="05CE8A60" w15:done="0"/>
  <w15:commentEx w15:paraId="2807CEAE" w15:done="0"/>
  <w15:commentEx w15:paraId="5F57BD46" w15:done="0"/>
  <w15:commentEx w15:paraId="1E945E68" w15:done="0"/>
  <w15:commentEx w15:paraId="6E73F531" w15:done="0"/>
  <w15:commentEx w15:paraId="79CBAB38" w15:done="0"/>
  <w15:commentEx w15:paraId="04EBBECC" w15:done="0"/>
  <w15:commentEx w15:paraId="1EBB7A17" w15:done="0"/>
  <w15:commentEx w15:paraId="0944FEB6" w15:done="0"/>
  <w15:commentEx w15:paraId="451F60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115F4652" w16cex:dateUtc="2026-02-10T01:43:53Z"/>
  <w16cex:commentExtensible w16cex:durableId="294B9920" w16cex:dateUtc="2026-02-10T01:43:53Z"/>
  <w16cex:commentExtensible w16cex:durableId="7F1E8A4A" w16cex:dateUtc="2026-02-10T01:43:53Z"/>
  <w16cex:commentExtensible w16cex:durableId="42492EDB" w16cex:dateUtc="2026-02-10T01:43:53Z"/>
  <w16cex:commentExtensible w16cex:durableId="6994B9BE" w16cex:dateUtc="2026-02-10T01:43:53Z"/>
  <w16cex:commentExtensible w16cex:durableId="457A5C19" w16cex:dateUtc="2026-02-10T01:43:53Z"/>
  <w16cex:commentExtensible w16cex:durableId="3A25A919" w16cex:dateUtc="2026-02-10T01:43:53Z"/>
  <w16cex:commentExtensible w16cex:durableId="48122C50" w16cex:dateUtc="2026-02-10T01:43:53Z"/>
  <w16cex:commentExtensible w16cex:durableId="73225A8F" w16cex:dateUtc="2026-02-10T01:43:53Z"/>
  <w16cex:commentExtensible w16cex:durableId="67DDC982" w16cex:dateUtc="2026-02-10T01:43:53Z"/>
  <w16cex:commentExtensible w16cex:durableId="7542C092" w16cex:dateUtc="2026-02-10T01:43:53Z"/>
  <w16cex:commentExtensible w16cex:durableId="699383BA" w16cex:dateUtc="2026-02-10T01:43:53Z"/>
  <w16cex:commentExtensible w16cex:durableId="659AA03B" w16cex:dateUtc="2026-02-10T01:43:53Z"/>
  <w16cex:commentExtensible w16cex:durableId="5898963D" w16cex:dateUtc="2026-02-10T01:43:53Z"/>
  <w16cex:commentExtensible w16cex:durableId="514F962D" w16cex:dateUtc="2026-02-10T01:43:53Z"/>
  <w16cex:commentExtensible w16cex:durableId="535BF5DD" w16cex:dateUtc="2026-02-10T01:43:53Z"/>
  <w16cex:commentExtensible w16cex:durableId="372ED549" w16cex:dateUtc="2026-02-10T01:43:53Z"/>
  <w16cex:commentExtensible w16cex:durableId="389BEC29" w16cex:dateUtc="2026-02-10T01:43:53Z"/>
  <w16cex:commentExtensible w16cex:durableId="2D4A11AE" w16cex:dateUtc="2026-02-10T01:43:53Z"/>
  <w16cex:commentExtensible w16cex:durableId="7090765E" w16cex:dateUtc="2026-02-10T01:43:53Z"/>
  <w16cex:commentExtensible w16cex:durableId="3B01F613" w16cex:dateUtc="2026-02-10T01:43:5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04EC4A" w16cid:durableId="115F4652"/>
  <w16cid:commentId w16cid:paraId="10A815F0" w16cid:durableId="294B9920"/>
  <w16cid:commentId w16cid:paraId="1BE83768" w16cid:durableId="7F1E8A4A"/>
  <w16cid:commentId w16cid:paraId="61459819" w16cid:durableId="42492EDB"/>
  <w16cid:commentId w16cid:paraId="1D6D3509" w16cid:durableId="6994B9BE"/>
  <w16cid:commentId w16cid:paraId="3E1863D4" w16cid:durableId="457A5C19"/>
  <w16cid:commentId w16cid:paraId="15451E3C" w16cid:durableId="3A25A919"/>
  <w16cid:commentId w16cid:paraId="047609B3" w16cid:durableId="48122C50"/>
  <w16cid:commentId w16cid:paraId="261B6932" w16cid:durableId="73225A8F"/>
  <w16cid:commentId w16cid:paraId="17AF32CC" w16cid:durableId="67DDC982"/>
  <w16cid:commentId w16cid:paraId="754555EF" w16cid:durableId="7542C092"/>
  <w16cid:commentId w16cid:paraId="05CE8A60" w16cid:durableId="699383BA"/>
  <w16cid:commentId w16cid:paraId="2807CEAE" w16cid:durableId="659AA03B"/>
  <w16cid:commentId w16cid:paraId="5F57BD46" w16cid:durableId="5898963D"/>
  <w16cid:commentId w16cid:paraId="1E945E68" w16cid:durableId="514F962D"/>
  <w16cid:commentId w16cid:paraId="6E73F531" w16cid:durableId="535BF5DD"/>
  <w16cid:commentId w16cid:paraId="79CBAB38" w16cid:durableId="372ED549"/>
  <w16cid:commentId w16cid:paraId="04EBBECC" w16cid:durableId="389BEC29"/>
  <w16cid:commentId w16cid:paraId="1EBB7A17" w16cid:durableId="2D4A11AE"/>
  <w16cid:commentId w16cid:paraId="0944FEB6" w16cid:durableId="7090765E"/>
  <w16cid:commentId w16cid:paraId="451F6007" w16cid:durableId="3B01F61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PolicyLift SOC 2 Policy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2026-02-10T01:43:52.422Z</dcterms:created>
  <dcterms:modified xsi:type="dcterms:W3CDTF">2026-02-10T01:43:52.422Z</dcterms:modified>
</cp:coreProperties>
</file>

<file path=docProps/custom.xml><?xml version="1.0" encoding="utf-8"?>
<Properties xmlns="http://schemas.openxmlformats.org/officeDocument/2006/custom-properties" xmlns:vt="http://schemas.openxmlformats.org/officeDocument/2006/docPropsVTypes"/>
</file>