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Risk and Governance Executive Committee Charter</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DECISION NEEDED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RGEC must have full access to books, records, facilities, and personnel</w:t>
      </w:r>
    </w:p>
    <w:p>
      <w:pPr>
        <w:pStyle w:val="ListParagraph"/>
        <w:numPr>
          <w:ilvl w:val="0"/>
          <w:numId w:val="2"/>
        </w:numPr>
        <w:spacing w:before="40" w:after="40"/>
      </w:pPr>
      <w:r>
        <w:rPr>
          <w:rFonts w:ascii="Arial" w:cs="Arial" w:eastAsia="Arial" w:hAnsi="Arial"/>
          <w:sz w:val="22"/>
          <w:szCs w:val="22"/>
        </w:rPr>
        <w:t xml:space="preserve">Committee meets at least 2 times per year</w:t>
      </w:r>
    </w:p>
    <w:p>
      <w:pPr>
        <w:pStyle w:val="ListParagraph"/>
        <w:numPr>
          <w:ilvl w:val="0"/>
          <w:numId w:val="2"/>
        </w:numPr>
        <w:spacing w:before="40" w:after="40"/>
      </w:pPr>
      <w:r>
        <w:rPr>
          <w:rFonts w:ascii="Arial" w:cs="Arial" w:eastAsia="Arial" w:hAnsi="Arial"/>
          <w:sz w:val="22"/>
          <w:szCs w:val="22"/>
        </w:rPr>
        <w:t xml:space="preserve">Minutes signed by committee member; action items tracked</w:t>
      </w:r>
    </w:p>
    <w:p>
      <w:pPr>
        <w:pStyle w:val="ListParagraph"/>
        <w:numPr>
          <w:ilvl w:val="0"/>
          <w:numId w:val="2"/>
        </w:numPr>
        <w:spacing w:before="40" w:after="40"/>
      </w:pPr>
      <w:r>
        <w:rPr>
          <w:rFonts w:ascii="Arial" w:cs="Arial" w:eastAsia="Arial" w:hAnsi="Arial"/>
          <w:sz w:val="22"/>
          <w:szCs w:val="22"/>
        </w:rPr>
        <w:t xml:space="preserve">Charter reviewed and approved annually by Board</w:t>
      </w:r>
    </w:p>
    <w:p>
      <w:pPr>
        <w:pStyle w:val="ListParagraph"/>
        <w:numPr>
          <w:ilvl w:val="0"/>
          <w:numId w:val="2"/>
        </w:numPr>
        <w:spacing w:before="40" w:after="40"/>
      </w:pPr>
      <w:r>
        <w:rPr>
          <w:rFonts w:ascii="Arial" w:cs="Arial" w:eastAsia="Arial" w:hAnsi="Arial"/>
          <w:sz w:val="22"/>
          <w:szCs w:val="22"/>
        </w:rPr>
        <w:t xml:space="preserve">Authority to retain independent consultants at company expense</w:t>
      </w:r>
    </w:p>
    <w:p>
      <w:pPr>
        <w:pStyle w:val="ListParagraph"/>
        <w:numPr>
          <w:ilvl w:val="0"/>
          <w:numId w:val="2"/>
        </w:numPr>
        <w:spacing w:before="40" w:after="40"/>
      </w:pPr>
      <w:r>
        <w:rPr>
          <w:rFonts w:ascii="Arial" w:cs="Arial" w:eastAsia="Arial" w:hAnsi="Arial"/>
          <w:sz w:val="22"/>
          <w:szCs w:val="22"/>
        </w:rPr>
        <w:t xml:space="preserve">Evaluate cybersecurity risks and ensure appropriate procedures</w:t>
      </w:r>
    </w:p>
    <w:p>
      <w:pPr>
        <w:pStyle w:val="ListParagraph"/>
        <w:numPr>
          <w:ilvl w:val="0"/>
          <w:numId w:val="2"/>
        </w:numPr>
        <w:spacing w:before="40" w:after="40"/>
      </w:pPr>
      <w:r>
        <w:rPr>
          <w:rFonts w:ascii="Arial" w:cs="Arial" w:eastAsia="Arial" w:hAnsi="Arial"/>
          <w:sz w:val="22"/>
          <w:szCs w:val="22"/>
        </w:rPr>
        <w:t xml:space="preserve">Review control design and balance of preventive/detective controls</w:t>
      </w:r>
    </w:p>
    <w:p>
      <w:pPr>
        <w:pStyle w:val="ListParagraph"/>
        <w:numPr>
          <w:ilvl w:val="0"/>
          <w:numId w:val="2"/>
        </w:numPr>
        <w:spacing w:before="40" w:after="40"/>
      </w:pPr>
      <w:r>
        <w:rPr>
          <w:rFonts w:ascii="Arial" w:cs="Arial" w:eastAsia="Arial" w:hAnsi="Arial"/>
          <w:sz w:val="22"/>
          <w:szCs w:val="22"/>
        </w:rPr>
        <w:t xml:space="preserve">Succession planning for key roles required</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Board of Directors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DECISION NEEDED: Who is on PolicyLift's Board? (CEO only? External board members?)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RGEC Chairman (Board member)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DECISION NEEDED: Assign Board member to chair (likely CEO initially)</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Executive Management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CEO, CTO, Head of Operations</w:t>
            </w:r>
          </w:p>
        </w:tc>
      </w:tr>
    </w:tbl>
    <w:p>
      <w:r>
        <w:br w:type="page"/>
      </w:r>
    </w:p>
    <w:p>
      <w:pPr>
        <w:pStyle w:val="Heading1"/>
        <w:spacing w:before="0" w:after="200"/>
      </w:pPr>
      <w:r>
        <w:rPr>
          <w:rFonts w:ascii="Arial" w:cs="Arial" w:eastAsia="Arial" w:hAnsi="Arial"/>
          <w:b/>
          <w:bCs/>
          <w:sz w:val="32"/>
          <w:szCs w:val="32"/>
        </w:rPr>
        <w:t xml:space="preserve">Risk and Governance Executive Committee Charter</w:t>
      </w:r>
    </w:p>
    <w:p>
      <w:pPr>
        <w:pStyle w:val="Heading2"/>
        <w:spacing w:before="200" w:after="100"/>
      </w:pPr>
      <w:r>
        <w:rPr>
          <w:rFonts w:ascii="Arial" w:cs="Arial" w:eastAsia="Arial" w:hAnsi="Arial"/>
          <w:b/>
          <w:bCs/>
          <w:sz w:val="24"/>
          <w:szCs w:val="24"/>
        </w:rPr>
        <w:t xml:space="preserve">Purpose of Charter</w:t>
      </w:r>
    </w:p>
    <w:p>
      <w:pPr>
        <w:spacing w:before="60" w:after="60"/>
      </w:pPr>
    </w:p>
    <w:p>
      <w:pPr>
        <w:spacing w:before="60" w:after="60"/>
      </w:pPr>
      <w:r>
        <w:rPr>
          <w:rFonts w:ascii="Arial" w:cs="Arial" w:eastAsia="Arial" w:hAnsi="Arial"/>
          <w:sz w:val="22"/>
          <w:szCs w:val="22"/>
        </w:rPr>
        <w:t xml:space="preserve">The RGEC Charter sets out the role, composition, and responsibilities of the Risk and Governance Executive Committee (“RGEC”) of PolicyLift.</w:t>
      </w:r>
    </w:p>
    <w:p>
      <w:pPr>
        <w:pStyle w:val="Heading2"/>
        <w:spacing w:before="200" w:after="100"/>
      </w:pPr>
      <w:r>
        <w:rPr>
          <w:rFonts w:ascii="Arial" w:cs="Arial" w:eastAsia="Arial" w:hAnsi="Arial"/>
          <w:b/>
          <w:bCs/>
          <w:sz w:val="24"/>
          <w:szCs w:val="24"/>
        </w:rPr>
        <w:t xml:space="preserve">Scope</w:t>
      </w:r>
    </w:p>
    <w:p>
      <w:pPr>
        <w:spacing w:before="60" w:after="60"/>
      </w:pPr>
    </w:p>
    <w:p>
      <w:pPr>
        <w:spacing w:before="60" w:after="60"/>
      </w:pPr>
      <w:r>
        <w:rPr>
          <w:rFonts w:ascii="Arial" w:cs="Arial" w:eastAsia="Arial" w:hAnsi="Arial"/>
          <w:sz w:val="22"/>
          <w:szCs w:val="22"/>
        </w:rPr>
        <w:t xml:space="preserve">This Charter Covers all of PolicyLift.</w:t>
      </w:r>
    </w:p>
    <w:p>
      <w:pPr>
        <w:spacing w:before="60" w:after="60"/>
      </w:pPr>
    </w:p>
    <w:p>
      <w:pPr>
        <w:pStyle w:val="Heading2"/>
        <w:spacing w:before="200" w:after="100"/>
      </w:pPr>
      <w:r>
        <w:rPr>
          <w:rFonts w:ascii="Arial" w:cs="Arial" w:eastAsia="Arial" w:hAnsi="Arial"/>
          <w:b/>
          <w:bCs/>
          <w:sz w:val="24"/>
          <w:szCs w:val="24"/>
        </w:rPr>
        <w:t xml:space="preserve">Purpose of the RGEC Committee</w:t>
      </w:r>
    </w:p>
    <w:p>
      <w:pPr>
        <w:spacing w:before="60" w:after="60"/>
      </w:pPr>
    </w:p>
    <w:p>
      <w:pPr>
        <w:spacing w:before="60" w:after="60"/>
      </w:pPr>
      <w:r>
        <w:rPr>
          <w:rFonts w:ascii="Arial" w:cs="Arial" w:eastAsia="Arial" w:hAnsi="Arial"/>
          <w:sz w:val="22"/>
          <w:szCs w:val="22"/>
        </w:rPr>
        <w:t xml:space="preserve">The purpose of the Risk and Governance Executive Committee (“RGEC”) of the Board of Directors (the “Board”) of PolicyLift shall be to assist the Board of Directors of PolicyLift in its oversight of PolicyLift’s risk governance structure, including PolicyLift’s risk management framework and policies, procedures, and practices utilized to manage risk.</w:t>
      </w:r>
    </w:p>
    <w:p>
      <w:pPr>
        <w:spacing w:before="60" w:after="60"/>
      </w:pPr>
    </w:p>
    <w:p>
      <w:pPr>
        <w:spacing w:before="60" w:after="60"/>
      </w:pPr>
      <w:r>
        <w:rPr>
          <w:rFonts w:ascii="Arial" w:cs="Arial" w:eastAsia="Arial" w:hAnsi="Arial"/>
          <w:sz w:val="22"/>
          <w:szCs w:val="22"/>
        </w:rPr>
        <w:t xml:space="preserve">The RGEC has the authority:</w:t>
      </w:r>
    </w:p>
    <w:p>
      <w:pPr>
        <w:spacing w:before="60" w:after="60"/>
      </w:pPr>
    </w:p>
    <w:p>
      <w:pPr>
        <w:pStyle w:val="ListParagraph"/>
        <w:numPr>
          <w:ilvl w:val="0"/>
          <w:numId w:val="3"/>
        </w:numPr>
        <w:spacing w:before="40" w:after="40"/>
      </w:pPr>
      <w:commentRangeStart w:id="1"/>
      <w:r>
        <w:rPr>
          <w:rFonts w:ascii="Arial" w:cs="Arial" w:eastAsia="Arial" w:hAnsi="Arial"/>
          <w:sz w:val="22"/>
          <w:szCs w:val="22"/>
        </w:rPr>
        <w:t xml:space="preserve">To investigate any matter brought to its attention with full access to all books, records, facilities, and personnel of PolicyLift.</w:t>
      </w:r>
      <w:commentRangeEnd w:id="1"/>
      <w:r>
        <w:rPr>
          <w:rStyle w:val="CommentReference"/>
        </w:rPr>
        <w:commentReference w:id="1"/>
      </w:r>
    </w:p>
    <w:p>
      <w:pPr>
        <w:spacing w:before="60" w:after="60"/>
      </w:pPr>
    </w:p>
    <w:p>
      <w:pPr>
        <w:pStyle w:val="ListParagraph"/>
        <w:numPr>
          <w:ilvl w:val="0"/>
          <w:numId w:val="3"/>
        </w:numPr>
        <w:spacing w:before="40" w:after="40"/>
      </w:pPr>
      <w:commentRangeStart w:id="2"/>
      <w:r>
        <w:rPr>
          <w:rFonts w:ascii="Arial" w:cs="Arial" w:eastAsia="Arial" w:hAnsi="Arial"/>
          <w:sz w:val="22"/>
          <w:szCs w:val="22"/>
        </w:rPr>
        <w:t xml:space="preserve">To retain independent consultants to advise the RGEC, at PolicyLift expense, as it deems necessary. PolicyLift shall provide for appropriate funding, as determined by the RGEC, for the payment of compensation to consultants or advisors employed by the RGEC and ordinary administrative expenses of the RGEC that are necessary or appropriate in carrying out its duties.</w:t>
      </w:r>
      <w:commentRangeEnd w:id="2"/>
      <w:r>
        <w:rPr>
          <w:rStyle w:val="CommentReference"/>
        </w:rPr>
        <w:commentReference w:id="2"/>
      </w:r>
    </w:p>
    <w:p>
      <w:pPr>
        <w:spacing w:before="60" w:after="60"/>
      </w:pPr>
    </w:p>
    <w:p>
      <w:pPr>
        <w:spacing w:before="60" w:after="60"/>
      </w:pPr>
    </w:p>
    <w:p>
      <w:pPr>
        <w:pStyle w:val="Heading2"/>
        <w:spacing w:before="200" w:after="100"/>
      </w:pPr>
      <w:r>
        <w:rPr>
          <w:rFonts w:ascii="Arial" w:cs="Arial" w:eastAsia="Arial" w:hAnsi="Arial"/>
          <w:b/>
          <w:bCs/>
          <w:sz w:val="24"/>
          <w:szCs w:val="24"/>
        </w:rPr>
        <w:t xml:space="preserve">Risk Committee Team</w:t>
      </w:r>
    </w:p>
    <w:p>
      <w:pPr>
        <w:spacing w:before="60" w:after="60"/>
      </w:pPr>
    </w:p>
    <w:p>
      <w:pPr>
        <w:spacing w:before="60" w:after="60"/>
      </w:pPr>
      <w:commentRangeStart w:id="0"/>
      <w:r>
        <w:rPr>
          <w:rFonts w:ascii="Arial" w:cs="Arial" w:eastAsia="Arial" w:hAnsi="Arial"/>
          <w:sz w:val="22"/>
          <w:szCs w:val="22"/>
        </w:rPr>
        <w:t xml:space="preserve">The Risk and Governance Executive Committee shall be appointed by and will serve at the discretion of the Board. The Chairman of the Risk and Governance Executive Committee shall be a member of the Board.</w:t>
      </w:r>
      <w:commentRangeEnd w:id="0"/>
      <w:r>
        <w:rPr>
          <w:rStyle w:val="CommentReference"/>
        </w:rPr>
        <w:commentReference w:id="0"/>
      </w:r>
    </w:p>
    <w:p>
      <w:pPr>
        <w:spacing w:before="60" w:after="60"/>
      </w:pPr>
    </w:p>
    <w:p>
      <w:pPr>
        <w:pStyle w:val="Heading2"/>
        <w:spacing w:before="200" w:after="100"/>
      </w:pPr>
      <w:r>
        <w:rPr>
          <w:rFonts w:ascii="Arial" w:cs="Arial" w:eastAsia="Arial" w:hAnsi="Arial"/>
          <w:b/>
          <w:bCs/>
          <w:sz w:val="24"/>
          <w:szCs w:val="24"/>
        </w:rPr>
        <w:t xml:space="preserve">ROLES AND RESPONSIBILITIES</w:t>
      </w:r>
    </w:p>
    <w:p>
      <w:pPr>
        <w:spacing w:before="60" w:after="60"/>
      </w:pPr>
    </w:p>
    <w:p>
      <w:pPr>
        <w:spacing w:before="60" w:after="60"/>
      </w:pPr>
      <w:r>
        <w:rPr>
          <w:rFonts w:ascii="Arial" w:cs="Arial" w:eastAsia="Arial" w:hAnsi="Arial"/>
          <w:sz w:val="22"/>
          <w:szCs w:val="22"/>
        </w:rPr>
        <w:t xml:space="preserve">The Risk and Governance Executive Committee shall periodically assess risks to the effective execution of business strategy and review key leading indicators in this regard. The key roles and responsibilities of the committee shall be as follows:</w:t>
      </w:r>
    </w:p>
    <w:p>
      <w:pPr>
        <w:spacing w:before="60" w:after="60"/>
      </w:pPr>
    </w:p>
    <w:p>
      <w:pPr>
        <w:pStyle w:val="ListParagraph"/>
        <w:numPr>
          <w:ilvl w:val="0"/>
          <w:numId w:val="3"/>
        </w:numPr>
        <w:spacing w:before="40" w:after="40"/>
      </w:pPr>
      <w:commentRangeStart w:id="5"/>
      <w:r>
        <w:rPr>
          <w:rFonts w:ascii="Arial" w:cs="Arial" w:eastAsia="Arial" w:hAnsi="Arial"/>
          <w:sz w:val="22"/>
          <w:szCs w:val="22"/>
        </w:rPr>
        <w:t xml:space="preserve">Review the risk management processes and practices of PolicyLift and ensure that PolicyLift is taking the appropriate measures to achieve a prudent balance between risk and reward in both ongoing and new business activities.</w:t>
      </w:r>
      <w:commentRangeEnd w:id="5"/>
      <w:r>
        <w:rPr>
          <w:rStyle w:val="CommentReference"/>
        </w:rPr>
        <w:commentReference w:id="5"/>
      </w:r>
    </w:p>
    <w:p>
      <w:pPr>
        <w:spacing w:before="60" w:after="60"/>
      </w:pPr>
    </w:p>
    <w:p>
      <w:pPr>
        <w:pStyle w:val="ListParagraph"/>
        <w:numPr>
          <w:ilvl w:val="0"/>
          <w:numId w:val="3"/>
        </w:numPr>
        <w:spacing w:before="40" w:after="40"/>
      </w:pPr>
      <w:commentRangeStart w:id="6"/>
      <w:r>
        <w:rPr>
          <w:rFonts w:ascii="Arial" w:cs="Arial" w:eastAsia="Arial" w:hAnsi="Arial"/>
          <w:sz w:val="22"/>
          <w:szCs w:val="22"/>
        </w:rPr>
        <w:t xml:space="preserve">Evaluate significant risk exposures of PolicyLift and assess management's actions to mitigate the exposures promptly (including one-off initiatives and ongoing activities such as business continuity planning and disaster recovery planning and testing).</w:t>
      </w:r>
      <w:commentRangeEnd w:id="6"/>
      <w:r>
        <w:rPr>
          <w:rStyle w:val="CommentReference"/>
        </w:rPr>
        <w:commentReference w:id="6"/>
      </w:r>
    </w:p>
    <w:p>
      <w:pPr>
        <w:spacing w:before="60" w:after="60"/>
      </w:pPr>
    </w:p>
    <w:p>
      <w:pPr>
        <w:pStyle w:val="ListParagraph"/>
        <w:numPr>
          <w:ilvl w:val="0"/>
          <w:numId w:val="3"/>
        </w:numPr>
        <w:spacing w:before="40" w:after="40"/>
      </w:pPr>
      <w:commentRangeStart w:id="7"/>
      <w:r>
        <w:rPr>
          <w:rFonts w:ascii="Arial" w:cs="Arial" w:eastAsia="Arial" w:hAnsi="Arial"/>
          <w:sz w:val="22"/>
          <w:szCs w:val="22"/>
        </w:rPr>
        <w:t xml:space="preserve">Evaluate risks related to cybersecurity and ensure appropriate procedures are placed to mitigate these risks promptly.</w:t>
      </w:r>
      <w:commentRangeEnd w:id="7"/>
      <w:r>
        <w:rPr>
          <w:rStyle w:val="CommentReference"/>
        </w:rPr>
        <w:commentReference w:id="7"/>
      </w:r>
    </w:p>
    <w:p>
      <w:pPr>
        <w:spacing w:before="60" w:after="60"/>
      </w:pPr>
    </w:p>
    <w:p>
      <w:pPr>
        <w:pStyle w:val="ListParagraph"/>
        <w:numPr>
          <w:ilvl w:val="0"/>
          <w:numId w:val="3"/>
        </w:numPr>
        <w:spacing w:before="40" w:after="40"/>
      </w:pPr>
      <w:commentRangeStart w:id="8"/>
      <w:r>
        <w:rPr>
          <w:rFonts w:ascii="Arial" w:cs="Arial" w:eastAsia="Arial" w:hAnsi="Arial"/>
          <w:sz w:val="22"/>
          <w:szCs w:val="22"/>
        </w:rPr>
        <w:t xml:space="preserve">Prepare and submit reports to the Board, including reports concerning risk management and minimization procedures.</w:t>
      </w:r>
      <w:commentRangeEnd w:id="8"/>
      <w:r>
        <w:rPr>
          <w:rStyle w:val="CommentReference"/>
        </w:rPr>
        <w:commentReference w:id="8"/>
      </w:r>
    </w:p>
    <w:p>
      <w:pPr>
        <w:spacing w:before="60" w:after="60"/>
      </w:pPr>
    </w:p>
    <w:p>
      <w:pPr>
        <w:pStyle w:val="ListParagraph"/>
        <w:numPr>
          <w:ilvl w:val="0"/>
          <w:numId w:val="3"/>
        </w:numPr>
        <w:spacing w:before="40" w:after="40"/>
      </w:pPr>
      <w:commentRangeStart w:id="9"/>
      <w:r>
        <w:rPr>
          <w:rFonts w:ascii="Arial" w:cs="Arial" w:eastAsia="Arial" w:hAnsi="Arial"/>
          <w:sz w:val="22"/>
          <w:szCs w:val="22"/>
        </w:rPr>
        <w:t xml:space="preserve">Review and reassess the adequacy of this Charter periodically and recommend any proposed changes to the Board for approval.</w:t>
      </w:r>
      <w:commentRangeEnd w:id="9"/>
      <w:r>
        <w:rPr>
          <w:rStyle w:val="CommentReference"/>
        </w:rPr>
        <w:commentReference w:id="9"/>
      </w:r>
    </w:p>
    <w:p>
      <w:pPr>
        <w:spacing w:before="60" w:after="60"/>
      </w:pPr>
    </w:p>
    <w:p>
      <w:pPr>
        <w:pStyle w:val="ListParagraph"/>
        <w:numPr>
          <w:ilvl w:val="0"/>
          <w:numId w:val="3"/>
        </w:numPr>
        <w:spacing w:before="40" w:after="40"/>
      </w:pPr>
      <w:r>
        <w:rPr>
          <w:rFonts w:ascii="Arial" w:cs="Arial" w:eastAsia="Arial" w:hAnsi="Arial"/>
          <w:sz w:val="22"/>
          <w:szCs w:val="22"/>
        </w:rPr>
        <w:t xml:space="preserve">Formulate and delegate authority to subcommittees when appropriate.</w:t>
      </w:r>
    </w:p>
    <w:p>
      <w:pPr>
        <w:spacing w:before="60" w:after="60"/>
      </w:pPr>
    </w:p>
    <w:p>
      <w:pPr>
        <w:spacing w:before="60" w:after="60"/>
      </w:pPr>
    </w:p>
    <w:p>
      <w:pPr>
        <w:pStyle w:val="ListParagraph"/>
        <w:numPr>
          <w:ilvl w:val="0"/>
          <w:numId w:val="3"/>
        </w:numPr>
        <w:spacing w:before="40" w:after="40"/>
      </w:pPr>
      <w:r>
        <w:rPr>
          <w:rFonts w:ascii="Arial" w:cs="Arial" w:eastAsia="Arial" w:hAnsi="Arial"/>
          <w:sz w:val="22"/>
          <w:szCs w:val="22"/>
        </w:rPr>
        <w:t xml:space="preserve">Other items as may be prescribed by applicable law or the Board in compliance with applicable law, from time to time, such as:</w:t>
      </w:r>
    </w:p>
    <w:p>
      <w:pPr>
        <w:spacing w:before="60" w:after="60"/>
      </w:pPr>
    </w:p>
    <w:p>
      <w:pPr>
        <w:pStyle w:val="ListParagraph"/>
        <w:numPr>
          <w:ilvl w:val="0"/>
          <w:numId w:val="3"/>
        </w:numPr>
        <w:spacing w:before="40" w:after="40"/>
      </w:pPr>
      <w:r>
        <w:rPr>
          <w:rFonts w:ascii="Arial" w:cs="Arial" w:eastAsia="Arial" w:hAnsi="Arial"/>
          <w:sz w:val="22"/>
          <w:szCs w:val="22"/>
        </w:rPr>
        <w:t xml:space="preserve">The alignment of the Organization's policies and procedures with the established compliance frameworks;</w:t>
      </w:r>
    </w:p>
    <w:p>
      <w:pPr>
        <w:spacing w:before="60" w:after="60"/>
      </w:pPr>
    </w:p>
    <w:p>
      <w:pPr>
        <w:pStyle w:val="ListParagraph"/>
        <w:numPr>
          <w:ilvl w:val="0"/>
          <w:numId w:val="3"/>
        </w:numPr>
        <w:spacing w:before="40" w:after="40"/>
      </w:pPr>
      <w:commentRangeStart w:id="10"/>
      <w:r>
        <w:rPr>
          <w:rFonts w:ascii="Arial" w:cs="Arial" w:eastAsia="Arial" w:hAnsi="Arial"/>
          <w:sz w:val="22"/>
          <w:szCs w:val="22"/>
        </w:rPr>
        <w:t xml:space="preserve">Reviews of internal controls assessments and information required to support internal controls and the achievement of the service commitment and system requirements;</w:t>
      </w:r>
      <w:commentRangeEnd w:id="10"/>
      <w:r>
        <w:rPr>
          <w:rStyle w:val="CommentReference"/>
        </w:rPr>
        <w:commentReference w:id="10"/>
      </w:r>
    </w:p>
    <w:p>
      <w:pPr>
        <w:spacing w:before="60" w:after="60"/>
      </w:pPr>
    </w:p>
    <w:p>
      <w:pPr>
        <w:pStyle w:val="ListParagraph"/>
        <w:numPr>
          <w:ilvl w:val="0"/>
          <w:numId w:val="3"/>
        </w:numPr>
        <w:spacing w:before="40" w:after="40"/>
      </w:pPr>
      <w:r>
        <w:rPr>
          <w:rFonts w:ascii="Arial" w:cs="Arial" w:eastAsia="Arial" w:hAnsi="Arial"/>
          <w:sz w:val="22"/>
          <w:szCs w:val="22"/>
        </w:rPr>
        <w:t xml:space="preserve">Any opportunities for improvements;</w:t>
      </w:r>
    </w:p>
    <w:p>
      <w:pPr>
        <w:spacing w:before="60" w:after="60"/>
      </w:pPr>
    </w:p>
    <w:p>
      <w:pPr>
        <w:pStyle w:val="ListParagraph"/>
        <w:numPr>
          <w:ilvl w:val="0"/>
          <w:numId w:val="3"/>
        </w:numPr>
        <w:spacing w:before="40" w:after="40"/>
      </w:pPr>
      <w:r>
        <w:rPr>
          <w:rFonts w:ascii="Arial" w:cs="Arial" w:eastAsia="Arial" w:hAnsi="Arial"/>
          <w:sz w:val="22"/>
          <w:szCs w:val="22"/>
        </w:rPr>
        <w:t xml:space="preserve">The remediation and/or corrective actions taken on identified risks, findings, issues, etc.;</w:t>
      </w:r>
    </w:p>
    <w:p>
      <w:pPr>
        <w:spacing w:before="60" w:after="60"/>
      </w:pPr>
    </w:p>
    <w:p>
      <w:pPr>
        <w:pStyle w:val="ListParagraph"/>
        <w:numPr>
          <w:ilvl w:val="0"/>
          <w:numId w:val="3"/>
        </w:numPr>
        <w:spacing w:before="40" w:after="40"/>
      </w:pPr>
      <w:r>
        <w:rPr>
          <w:rFonts w:ascii="Arial" w:cs="Arial" w:eastAsia="Arial" w:hAnsi="Arial"/>
          <w:sz w:val="22"/>
          <w:szCs w:val="22"/>
        </w:rPr>
        <w:t xml:space="preserve">Subsequent changes made to the high-level information security policies;</w:t>
      </w:r>
    </w:p>
    <w:p>
      <w:pPr>
        <w:spacing w:before="60" w:after="60"/>
      </w:pPr>
    </w:p>
    <w:p>
      <w:pPr>
        <w:pStyle w:val="ListParagraph"/>
        <w:numPr>
          <w:ilvl w:val="0"/>
          <w:numId w:val="3"/>
        </w:numPr>
        <w:spacing w:before="40" w:after="40"/>
      </w:pPr>
      <w:r>
        <w:rPr>
          <w:rFonts w:ascii="Arial" w:cs="Arial" w:eastAsia="Arial" w:hAnsi="Arial"/>
          <w:sz w:val="22"/>
          <w:szCs w:val="22"/>
        </w:rPr>
        <w:t xml:space="preserve">Resources and budget needs to implement, sustain, and continuously improve the information security and compliance frameworks;</w:t>
      </w:r>
    </w:p>
    <w:p>
      <w:pPr>
        <w:spacing w:before="60" w:after="60"/>
      </w:pPr>
    </w:p>
    <w:p>
      <w:pPr>
        <w:pStyle w:val="ListParagraph"/>
        <w:numPr>
          <w:ilvl w:val="0"/>
          <w:numId w:val="3"/>
        </w:numPr>
        <w:spacing w:before="40" w:after="40"/>
      </w:pPr>
      <w:r>
        <w:rPr>
          <w:rFonts w:ascii="Arial" w:cs="Arial" w:eastAsia="Arial" w:hAnsi="Arial"/>
          <w:sz w:val="22"/>
          <w:szCs w:val="22"/>
        </w:rPr>
        <w:t xml:space="preserve">Assessments conducted by internal and external parties; and</w:t>
      </w:r>
    </w:p>
    <w:p>
      <w:pPr>
        <w:spacing w:before="60" w:after="60"/>
      </w:pPr>
    </w:p>
    <w:p>
      <w:pPr>
        <w:pStyle w:val="ListParagraph"/>
        <w:numPr>
          <w:ilvl w:val="0"/>
          <w:numId w:val="3"/>
        </w:numPr>
        <w:spacing w:before="40" w:after="40"/>
      </w:pPr>
      <w:r>
        <w:rPr>
          <w:rFonts w:ascii="Arial" w:cs="Arial" w:eastAsia="Arial" w:hAnsi="Arial"/>
          <w:sz w:val="22"/>
          <w:szCs w:val="22"/>
        </w:rPr>
        <w:t xml:space="preserve">Risk assessment process infrastructure, software, people, procedures, and data and evaluations for needed changes and change requests based on the identified needs.</w:t>
      </w:r>
    </w:p>
    <w:p>
      <w:pPr>
        <w:spacing w:before="60" w:after="60"/>
      </w:pPr>
    </w:p>
    <w:p>
      <w:pPr>
        <w:pStyle w:val="ListParagraph"/>
        <w:numPr>
          <w:ilvl w:val="0"/>
          <w:numId w:val="3"/>
        </w:numPr>
        <w:spacing w:before="40" w:after="40"/>
      </w:pPr>
      <w:r>
        <w:rPr>
          <w:rFonts w:ascii="Arial" w:cs="Arial" w:eastAsia="Arial" w:hAnsi="Arial"/>
          <w:sz w:val="22"/>
          <w:szCs w:val="22"/>
        </w:rPr>
        <w:t xml:space="preserve">Review of control design considerations, including management's evaluation of manual versus automated controls and the appropriate balance of preventive and detective controls when implementing new control activities.</w:t>
      </w:r>
    </w:p>
    <w:p>
      <w:pPr>
        <w:spacing w:before="60" w:after="60"/>
      </w:pPr>
    </w:p>
    <w:p>
      <w:pPr>
        <w:pStyle w:val="ListParagraph"/>
        <w:numPr>
          <w:ilvl w:val="0"/>
          <w:numId w:val="3"/>
        </w:numPr>
        <w:spacing w:before="40" w:after="40"/>
      </w:pPr>
      <w:commentRangeStart w:id="13"/>
      <w:r>
        <w:rPr>
          <w:rFonts w:ascii="Arial" w:cs="Arial" w:eastAsia="Arial" w:hAnsi="Arial"/>
          <w:sz w:val="22"/>
          <w:szCs w:val="22"/>
        </w:rPr>
        <w:t xml:space="preserve">Oversight of fraud risk management, including the identification of potential fraud and misconduct scenarios within the organization and the adequacy of measures implemented to mitigate those risks.</w:t>
      </w:r>
      <w:commentRangeEnd w:id="13"/>
      <w:r>
        <w:rPr>
          <w:rStyle w:val="CommentReference"/>
        </w:rPr>
        <w:commentReference w:id="13"/>
      </w:r>
    </w:p>
    <w:p>
      <w:pPr>
        <w:spacing w:before="60" w:after="60"/>
      </w:pPr>
    </w:p>
    <w:p>
      <w:pPr>
        <w:pStyle w:val="ListParagraph"/>
        <w:numPr>
          <w:ilvl w:val="0"/>
          <w:numId w:val="3"/>
        </w:numPr>
        <w:spacing w:before="40" w:after="40"/>
      </w:pPr>
      <w:commentRangeStart w:id="11"/>
      <w:r>
        <w:rPr>
          <w:rFonts w:ascii="Arial" w:cs="Arial" w:eastAsia="Arial" w:hAnsi="Arial"/>
          <w:sz w:val="22"/>
          <w:szCs w:val="22"/>
        </w:rPr>
        <w:t xml:space="preserve">Review of succession planning for key roles and personnel critical to the organization's operations and risk management functions.</w:t>
      </w:r>
      <w:commentRangeEnd w:id="11"/>
      <w:r>
        <w:rPr>
          <w:rStyle w:val="CommentReference"/>
        </w:rPr>
        <w:commentReference w:id="11"/>
      </w:r>
    </w:p>
    <w:p>
      <w:pPr>
        <w:spacing w:before="60" w:after="60"/>
      </w:pPr>
    </w:p>
    <w:p>
      <w:pPr>
        <w:spacing w:before="60" w:after="60"/>
      </w:pPr>
    </w:p>
    <w:p>
      <w:pPr>
        <w:pStyle w:val="Heading2"/>
        <w:spacing w:before="200" w:after="100"/>
      </w:pPr>
      <w:r>
        <w:rPr>
          <w:rFonts w:ascii="Arial" w:cs="Arial" w:eastAsia="Arial" w:hAnsi="Arial"/>
          <w:b/>
          <w:bCs/>
          <w:sz w:val="24"/>
          <w:szCs w:val="24"/>
        </w:rPr>
        <w:t xml:space="preserve">Meeting</w:t>
      </w:r>
    </w:p>
    <w:p>
      <w:pPr>
        <w:spacing w:before="60" w:after="60"/>
      </w:pPr>
    </w:p>
    <w:p>
      <w:pPr>
        <w:spacing w:before="60" w:after="60"/>
      </w:pPr>
      <w:commentRangeStart w:id="3"/>
      <w:r>
        <w:rPr>
          <w:rFonts w:ascii="Arial" w:cs="Arial" w:eastAsia="Arial" w:hAnsi="Arial"/>
          <w:sz w:val="22"/>
          <w:szCs w:val="22"/>
        </w:rPr>
        <w:t xml:space="preserve">The Committee shall meet at least 2 times per year.</w:t>
      </w:r>
      <w:commentRangeEnd w:id="3"/>
      <w:r>
        <w:rPr>
          <w:rStyle w:val="CommentReference"/>
        </w:rPr>
        <w:commentReference w:id="3"/>
      </w:r>
    </w:p>
    <w:p>
      <w:pPr>
        <w:spacing w:before="60" w:after="60"/>
      </w:pPr>
    </w:p>
    <w:p>
      <w:pPr>
        <w:pStyle w:val="Heading2"/>
        <w:spacing w:before="200" w:after="100"/>
      </w:pPr>
      <w:r>
        <w:rPr>
          <w:rFonts w:ascii="Arial" w:cs="Arial" w:eastAsia="Arial" w:hAnsi="Arial"/>
          <w:b/>
          <w:bCs/>
          <w:sz w:val="24"/>
          <w:szCs w:val="24"/>
        </w:rPr>
        <w:t xml:space="preserve">Reporting</w:t>
      </w:r>
    </w:p>
    <w:p>
      <w:pPr>
        <w:spacing w:before="60" w:after="60"/>
      </w:pPr>
    </w:p>
    <w:p>
      <w:pPr>
        <w:spacing w:before="60" w:after="60"/>
      </w:pPr>
      <w:commentRangeStart w:id="4"/>
      <w:r>
        <w:rPr>
          <w:rFonts w:ascii="Arial" w:cs="Arial" w:eastAsia="Arial" w:hAnsi="Arial"/>
          <w:sz w:val="22"/>
          <w:szCs w:val="22"/>
        </w:rPr>
        <w:t xml:space="preserve">Proceedings of all meetings are minuted and signed by one member of the Committee.</w:t>
      </w:r>
      <w:commentRangeEnd w:id="4"/>
      <w:r>
        <w:rPr>
          <w:rStyle w:val="CommentReference"/>
        </w:rPr>
        <w:commentReference w:id="4"/>
      </w:r>
    </w:p>
    <w:p>
      <w:pPr>
        <w:spacing w:before="60" w:after="60"/>
      </w:pPr>
    </w:p>
    <w:p>
      <w:pPr>
        <w:spacing w:before="60" w:after="60"/>
      </w:pPr>
      <w:r>
        <w:rPr>
          <w:rFonts w:ascii="Arial" w:cs="Arial" w:eastAsia="Arial" w:hAnsi="Arial"/>
          <w:sz w:val="22"/>
          <w:szCs w:val="22"/>
        </w:rPr>
        <w:t xml:space="preserve">Minutes of all Committee meetings are circulated to Committee members and at the start of each subsequent meeting, the status of action items identified at the end of the previous meeting is discussed.</w:t>
      </w:r>
    </w:p>
    <w:p>
      <w:pPr>
        <w:spacing w:before="60" w:after="60"/>
      </w:pPr>
    </w:p>
    <w:p>
      <w:pPr>
        <w:pStyle w:val="Heading2"/>
        <w:spacing w:before="200" w:after="100"/>
      </w:pPr>
      <w:r>
        <w:rPr>
          <w:rFonts w:ascii="Arial" w:cs="Arial" w:eastAsia="Arial" w:hAnsi="Arial"/>
          <w:b/>
          <w:bCs/>
          <w:sz w:val="24"/>
          <w:szCs w:val="24"/>
        </w:rPr>
        <w:t xml:space="preserve">REVIEW OF CHARTER</w:t>
      </w:r>
    </w:p>
    <w:p>
      <w:pPr>
        <w:spacing w:before="60" w:after="60"/>
      </w:pPr>
    </w:p>
    <w:p>
      <w:pPr>
        <w:spacing w:before="60" w:after="60"/>
      </w:pPr>
      <w:commentRangeStart w:id="12"/>
      <w:r>
        <w:rPr>
          <w:rFonts w:ascii="Arial" w:cs="Arial" w:eastAsia="Arial" w:hAnsi="Arial"/>
          <w:sz w:val="22"/>
          <w:szCs w:val="22"/>
        </w:rPr>
        <w:t xml:space="preserve">The Board of Directors will review, update, and approve this charter annually to ensure it remains consistent with the Committee’s objectives and responsibilities.</w:t>
      </w:r>
      <w:commentRangeEnd w:id="12"/>
      <w:r>
        <w:rPr>
          <w:rStyle w:val="CommentReference"/>
        </w:rPr>
        <w:commentReference w:id="12"/>
      </w:r>
    </w:p>
    <w:p>
      <w:pPr>
        <w:spacing w:before="60" w:after="60"/>
      </w:pPr>
    </w:p>
    <w:p>
      <w:pPr>
        <w:spacing w:before="60" w:after="60"/>
      </w:pPr>
      <w:r>
        <w:rPr>
          <w:rFonts w:ascii="Arial" w:cs="Arial" w:eastAsia="Arial" w:hAnsi="Arial"/>
          <w:sz w:val="22"/>
          <w:szCs w:val="22"/>
        </w:rPr>
        <w:t xml:space="preserve">Policy Version: 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58Z" w:initials="PR">
    <w:p w14:paraId="40DEABF3" w14:textId="77777777">
      <w:r>
        <w:rPr>
          <w:rStyle w:val="CommentReference"/>
        </w:rPr>
        <w:annotationRef/>
      </w:r>
      <w:r>
        <w:rPr>
          <w:color w:val="000000"/>
          <w:sz w:val="20"/>
          <w:szCs w:val="20"/>
        </w:rPr>
        <w:t>DECISION NEEDED — Board Composition and RGEC Appointments
What this says: RGEC members appointed by Board of Directors; Chairman must be a Board member.
Why it matters: SOC 2 requires formal governance structure. PolicyLift must define: Who is on the Board? Is there a formal Board? Or is CEO acting as Board?
Recommendation: For SOC 2 Type I (point-in-time), PolicyLift should document its governance structure: (1) Is there a formal Board? (2) Who are members? (3) Is the RGEC separate or same as Board? (4) Who chairs RGEC? For a 9-person startup, consider: CEO as Board chair, CTO and Head of Operations as RGEC members, or external advisor as independent member. Document and sign Board resolution.</w:t>
      </w:r>
    </w:p>
  </w:comment>
  <w:comment w:id="1" w:author="PolicyLift Reviewer" w:date="2026-02-10T01:43:58Z" w:initials="PR">
    <w:p w14:paraId="131C4BF7" w14:textId="77777777">
      <w:r>
        <w:rPr>
          <w:rStyle w:val="CommentReference"/>
        </w:rPr>
        <w:annotationRef/>
      </w:r>
      <w:r>
        <w:rPr>
          <w:color w:val="000000"/>
          <w:sz w:val="20"/>
          <w:szCs w:val="20"/>
        </w:rPr>
        <w:t>COMMITMENT — RGEC Full Access and Investigative Authority
What this says: RGEC has unrestricted access to all company information, systems, personnel, and facilities for investigation.
Why it matters: SOC 2 requires transparent risk governance and ability to investigate control failures. RGEC must have authority to deep-dive into any compliance issue.
Recommendation: Document in RGEC Charter that RGEC members (CEO, CTO, Head of Ops) have authority to: (1) access all Supabase data and logs, (2) review all employee communications and files, (3) interview any staff or offshore devs, (4) access vendor contracts and security assessments, (5) inspect facilities and equipment. Store authority memo in compliance folder.</w:t>
      </w:r>
    </w:p>
  </w:comment>
  <w:comment w:id="2" w:author="PolicyLift Reviewer" w:date="2026-02-10T01:43:58Z" w:initials="PR">
    <w:p w14:paraId="5655D45F" w14:textId="77777777">
      <w:r>
        <w:rPr>
          <w:rStyle w:val="CommentReference"/>
        </w:rPr>
        <w:annotationRef/>
      </w:r>
      <w:r>
        <w:rPr>
          <w:color w:val="000000"/>
          <w:sz w:val="20"/>
          <w:szCs w:val="20"/>
        </w:rPr>
        <w:t>COMMITMENT — Budget for Independent Consultants
What this says: RGEC can hire external advisors/consultants at company expense as needed.
Why it matters: SOC 2 auditors expect companies to seek external expertise for risk management. This shows commitment to compliance and willingness to invest.
Recommendation: Budget for external consultants in 2024-2025. For PolicyLift, consider retaining: (1) Delve (pen testing annually), (2) SOC 2 auditor (Type I audit), (3) external legal counsel (vendor contracts, compliance). Document RGEC approval for each consultant engagement and store contracts in compliance folder.</w:t>
      </w:r>
    </w:p>
  </w:comment>
  <w:comment w:id="3" w:author="PolicyLift Reviewer" w:date="2026-02-10T01:43:58Z" w:initials="PR">
    <w:p w14:paraId="0BA837F2" w14:textId="77777777">
      <w:r>
        <w:rPr>
          <w:rStyle w:val="CommentReference"/>
        </w:rPr>
        <w:annotationRef/>
      </w:r>
      <w:r>
        <w:rPr>
          <w:color w:val="000000"/>
          <w:sz w:val="20"/>
          <w:szCs w:val="20"/>
        </w:rPr>
        <w:t>RECURRING — RGEC Quarterly Meetings
What this says: RGEC must formally convene at least twice yearly to review risk governance.
Why it matters: SOC 2 requires documented governance oversight. Meeting minutes are auditable evidence of risk discussions and decisions.
Recommendation: Schedule RGEC meetings: Q1 (Jan-Mar) and Q3 (Jul-Sep) or quarterly if possible. For each meeting, prepare: (1) risk register review (Supabase threats, vendor risks, access issues), (2) recent incidents or findings, (3) remediation status, (4) policy updates needed. Document as formal minutes with attendees, topics, decisions, and action items. Store in compliance folder.</w:t>
      </w:r>
    </w:p>
  </w:comment>
  <w:comment w:id="4" w:author="PolicyLift Reviewer" w:date="2026-02-10T01:43:58Z" w:initials="PR">
    <w:p w14:paraId="724F229E" w14:textId="77777777">
      <w:r>
        <w:rPr>
          <w:rStyle w:val="CommentReference"/>
        </w:rPr>
        <w:annotationRef/>
      </w:r>
      <w:r>
        <w:rPr>
          <w:color w:val="000000"/>
          <w:sz w:val="20"/>
          <w:szCs w:val="20"/>
        </w:rPr>
        <w:t>PROCESS — Meeting Minutes and Action Item Tracking
What this says: RGEC must document meetings with signatures; action items tracked and status reported at next meeting.
Why it matters: SOC 2 CC5.1 (leadership responsibility) requires documented oversight. Minutes show evidence of governance discussions and follow-up.
Recommendation: After each RGEC meeting, create: (1) minutes document signed by one RGEC member (e.g., CEO), (2) action items log with: item, owner, due date, status, (3) resolution evidence once complete. Use simple template: Date, Attendees, Topics, Decisions, Action Items, Next Meeting Date. Store in /compliance/rgec_minutes/ with date-stamped filenames.</w:t>
      </w:r>
    </w:p>
  </w:comment>
  <w:comment w:id="5" w:author="PolicyLift Reviewer" w:date="2026-02-10T01:43:58Z" w:initials="PR">
    <w:p w14:paraId="7A2E8BA0" w14:textId="77777777">
      <w:r>
        <w:rPr>
          <w:rStyle w:val="CommentReference"/>
        </w:rPr>
        <w:annotationRef/>
      </w:r>
      <w:r>
        <w:rPr>
          <w:color w:val="000000"/>
          <w:sz w:val="20"/>
          <w:szCs w:val="20"/>
        </w:rPr>
        <w:t>PROCESS — Risk Management Framework Review
What this says: RGEC must evaluate risk processes and practices to ensure appropriate risk/reward balance.
Why it matters: SOC 2 CC6.0 (control activities) requires formal risk management. RGEC must assess whether controls are adequate.
Recommendation: At each RGEC meeting, review: (1) current risk register (high/critical risks), (2) control effectiveness (are Supabase access controls working?), (3) new risks (offshore dev access, vendor changes), (4) remediation status. Use risk matrix: Likelihood x Impact = Risk Score. RGEC decides if risk is acceptable or requires mitigation. Document in minutes.</w:t>
      </w:r>
    </w:p>
  </w:comment>
  <w:comment w:id="6" w:author="PolicyLift Reviewer" w:date="2026-02-10T01:43:58Z" w:initials="PR">
    <w:p w14:paraId="613B6397" w14:textId="77777777">
      <w:r>
        <w:rPr>
          <w:rStyle w:val="CommentReference"/>
        </w:rPr>
        <w:annotationRef/>
      </w:r>
      <w:r>
        <w:rPr>
          <w:color w:val="000000"/>
          <w:sz w:val="20"/>
          <w:szCs w:val="20"/>
        </w:rPr>
        <w:t>COMMITMENT — Risk Mitigation and Executive Management Accountability
What this says: RGEC must assess high-risk issues and ensure management acts to mitigate quickly.
Why it matters: SOC 2 requires documented risk mitigation. For PolicyLift, critical risks include: (1) offshore dev access, (2) Supabase data security, (3) vendor management, (4) incident response. RGEC oversight ensures these are addressed.
Recommendation: Create a quarterly risk scorecard for RGEC review: (1) Offshore dev access controls (MFA, VPN, audit logs), (2) Supabase backup/restore (RTO/RPO), (3) Vendor security (Delve pen test results, SOC 2 reports), (4) Incident log (zero incidents ideal). For any high-risk finding, assign to CTO or Head of Ops with 30-day remediation deadline.</w:t>
      </w:r>
    </w:p>
  </w:comment>
  <w:comment w:id="7" w:author="PolicyLift Reviewer" w:date="2026-02-10T01:43:58Z" w:initials="PR">
    <w:p w14:paraId="78980E42" w14:textId="77777777">
      <w:r>
        <w:rPr>
          <w:rStyle w:val="CommentReference"/>
        </w:rPr>
        <w:annotationRef/>
      </w:r>
      <w:r>
        <w:rPr>
          <w:color w:val="000000"/>
          <w:sz w:val="20"/>
          <w:szCs w:val="20"/>
        </w:rPr>
        <w:t>COMMITMENT — Cybersecurity Risk Oversight
What this says: RGEC must specifically review cybersecurity risks and ensure mitigation procedures are in place.
Why it matters: SOC 2 Trust Service Criteria CC6.0 (security controls) and CC7.0 (system monitoring) focus heavily on cybersecurity. RGEC must provide oversight.
Recommendation: RGEC cybersecurity review at each meeting should cover: (1) Access controls (who has Supabase access?), (2) Data protection (encryption at rest/transit?), (3) Vulnerability management (pen test results, patch status), (4) Incident response (any security incidents?), (5) Offshore dev security (agency audit, MFA enforcement). CTO reports on each. Document findings and actions in RGEC minutes.</w:t>
      </w:r>
    </w:p>
  </w:comment>
  <w:comment w:id="8" w:author="PolicyLift Reviewer" w:date="2026-02-10T01:43:58Z" w:initials="PR">
    <w:p w14:paraId="13748364" w14:textId="77777777">
      <w:r>
        <w:rPr>
          <w:rStyle w:val="CommentReference"/>
        </w:rPr>
        <w:annotationRef/>
      </w:r>
      <w:r>
        <w:rPr>
          <w:color w:val="000000"/>
          <w:sz w:val="20"/>
          <w:szCs w:val="20"/>
        </w:rPr>
        <w:t>ROLE — RGEC Reporting to Board
What this says: RGEC must prepare formal reports for Board review on risk and mitigation.
Why it matters: SOC 2 expects formal governance reporting. Reports document that Board is informed of risks and management’s response.
Recommendation: RGEC prepares an annual report for Board (or CEO approval): (1) risk assessment summary, (2) control effectiveness assessment, (3) significant findings/remediation status, (4) year-ahead risk priorities, (5) budget/resource needs. For SOC 2 audit, provide this report to auditor as evidence of governance. Create template: 2-3 pages, signed by RGEC chair (CEO).</w:t>
      </w:r>
    </w:p>
  </w:comment>
  <w:comment w:id="9" w:author="PolicyLift Reviewer" w:date="2026-02-10T01:43:58Z" w:initials="PR">
    <w:p w14:paraId="03F83559" w14:textId="77777777">
      <w:r>
        <w:rPr>
          <w:rStyle w:val="CommentReference"/>
        </w:rPr>
        <w:annotationRef/>
      </w:r>
      <w:r>
        <w:rPr>
          <w:color w:val="000000"/>
          <w:sz w:val="20"/>
          <w:szCs w:val="20"/>
        </w:rPr>
        <w:t>RECURRING — Annual Charter Review and Update
What this says: RGEC must review and update this Charter annually for Board approval.
Why it matters: SOC 2 requires documented governance that evolves with company needs. Charter should reflect actual governance practices.
Recommendation: Schedule annual Charter review at Q3 RGEC meeting (Aug-Sep). Compare Charter to actual practices: Does RGEC meet 2x/year (yes/no)? Are all required topics covered? Do we need to add succession planning, fraud oversight, etc.? Update Charter if needed; get Board (CEO) approval and document change date. Store updated version in compliance folder.</w:t>
      </w:r>
    </w:p>
  </w:comment>
  <w:comment w:id="10" w:author="PolicyLift Reviewer" w:date="2026-02-10T01:43:58Z" w:initials="PR">
    <w:p w14:paraId="0399DAB0" w14:textId="77777777">
      <w:r>
        <w:rPr>
          <w:rStyle w:val="CommentReference"/>
        </w:rPr>
        <w:annotationRef/>
      </w:r>
      <w:r>
        <w:rPr>
          <w:color w:val="000000"/>
          <w:sz w:val="20"/>
          <w:szCs w:val="20"/>
        </w:rPr>
        <w:t>PROCESS — Internal Control Assessment and SOC 2 Compliance Review
What this says: RGEC must review internal control assessments and SOC 2 service commitments/system requirements.
Why it matters: This is directly aligned with SOC 2. RGEC must ensure controls support SOC 2 criteria (CC1-CC9, T1-T7).
Recommendation: RGEC agenda should include: (1) SOC 2 Criteria Checklist review (are all criteria met?), (2) control assessment results (Delve pen test, internal audit), (3) gaps identified, (4) remediation plan, (5) evidence collected (logs, documentation). Create a SOC 2 Compliance Tracker: Criterion, Owner, Status (Green/Yellow/Red), Evidence Location. Review at each RGEC meeting.</w:t>
      </w:r>
    </w:p>
  </w:comment>
  <w:comment w:id="11" w:author="PolicyLift Reviewer" w:date="2026-02-10T01:43:58Z" w:initials="PR">
    <w:p w14:paraId="535DC66F" w14:textId="77777777">
      <w:r>
        <w:rPr>
          <w:rStyle w:val="CommentReference"/>
        </w:rPr>
        <w:annotationRef/>
      </w:r>
      <w:r>
        <w:rPr>
          <w:color w:val="000000"/>
          <w:sz w:val="20"/>
          <w:szCs w:val="20"/>
        </w:rPr>
        <w:t>COMMITMENT — Succession Planning for Key Roles
What this says: RGEC must periodically review succession plans for critical roles.
Why it matters: SOC 2 requires business continuity and personnel management controls. For a 9-person startup, loss of CTO or CEO could impact security operations.
Recommendation: Create a Succession Plan document covering: (1) CEO (Raghav) - successor: Head of Operations or external, (2) CTO - successor: Senior dev or external, (3) Head of Operations - successor: Account Executive or external. For each, list: key responsibilities, access/credentials, documentation location. Update annually. Store in secure location; discuss at RGEC annual meeting. This supports CC6.1 (change management) and CC7.1 (logical access).</w:t>
      </w:r>
    </w:p>
  </w:comment>
  <w:comment w:id="12" w:author="PolicyLift Reviewer" w:date="2026-02-10T01:43:58Z" w:initials="PR">
    <w:p w14:paraId="0724100D" w14:textId="77777777">
      <w:r>
        <w:rPr>
          <w:rStyle w:val="CommentReference"/>
        </w:rPr>
        <w:annotationRef/>
      </w:r>
      <w:r>
        <w:rPr>
          <w:color w:val="000000"/>
          <w:sz w:val="20"/>
          <w:szCs w:val="20"/>
        </w:rPr>
        <w:t>RECURRING — Annual Charter Approval by Board
What this says: Board must formally review, update, and approve RGEC Charter each year.
Why it matters: SOC 2 requires documented governance. Board approval of Charter is evidence of Board oversight.
Recommendation: At annual Board meeting (Dec or Jan), present RGEC Charter for approval: (1) Review changes from prior year, (2) Confirm scope still accurate, (3) Vote to approve/update, (4) Document approval in Board minutes with date and signatures. For PolicyLift (9 people), Board = CEO + CTO + Head of Ops (or CEO alone initially). Store signed Charter in compliance folder with approval stamp and date.</w:t>
      </w:r>
    </w:p>
  </w:comment>
  <w:comment w:id="13" w:author="PolicyLift Reviewer" w:date="2026-02-10T01:43:58Z" w:initials="PR">
    <w:p w14:paraId="68F28409" w14:textId="77777777">
      <w:r>
        <w:rPr>
          <w:rStyle w:val="CommentReference"/>
        </w:rPr>
        <w:annotationRef/>
      </w:r>
      <w:r>
        <w:rPr>
          <w:color w:val="000000"/>
          <w:sz w:val="20"/>
          <w:szCs w:val="20"/>
        </w:rPr>
        <w:t>COMMITMENT — Fraud Risk Oversight
What this says: RGEC must oversee fraud risk management and identify potential fraud/misconduct scenarios; ensure mitigation measures in place.
Why it matters: SOC 2 requires fraud awareness and controls. For a 9-person startup with offshore devs, key fraud risks: unauthorized access, data theft, credential misuse, billing fraud.
Recommendation: Create a Fraud Risk Assessment (annual): (1) Identify fraud scenarios (rogue admin access to Supabase, offshore dev exfiltrating customer data, CEO misappropriating funds), (2) Assess likelihood and impact, (3) List mitigating controls (audit logs, access restrictions, segregation of duties, offshore dev vetting), (4) Monitor indicators (log anomalies, system access patterns). RGEC reviews at Q1 meeting. Store assessment in compliance folder.</w:t>
      </w:r>
    </w:p>
  </w:comment>
  <w:comment w:id="14" w:author="PolicyLift Reviewer" w:date="2026-02-10T01:43:58Z" w:initials="PR">
    <w:p w14:paraId="6E7A6A9E" w14:textId="77777777">
      <w:r>
        <w:rPr>
          <w:rStyle w:val="CommentReference"/>
        </w:rPr>
        <w:annotationRef/>
      </w:r>
      <w:r>
        <w:rPr>
          <w:color w:val="000000"/>
          <w:sz w:val="20"/>
          <w:szCs w:val="20"/>
        </w:rPr>
        <w:t>PROCESS — Remediation Tracking and Follow-Up
What this says: RGEC must track remediation of identified risks, findings, and issues until resolved.
Why it matters: SOC 2 auditors want to see follow-through on findings. Open issues without remediation are red flags.
Recommendation: Maintain a Remediation Log: Finding (risk/issue), Owner, Target Resolution Date, Status (Open/In Progress/Closed), Evidence of Closure. At each RGEC meeting, review log and update status. For Delve pen test findings, assign CTO to remediate and provide evidence (e.g., patch applied, test results). Do not close until RGEC verifies evidence. Store log in compliance folder with version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DEABF3" w15:done="0"/>
  <w15:commentEx w15:paraId="131C4BF7" w15:done="0"/>
  <w15:commentEx w15:paraId="5655D45F" w15:done="0"/>
  <w15:commentEx w15:paraId="0BA837F2" w15:done="0"/>
  <w15:commentEx w15:paraId="724F229E" w15:done="0"/>
  <w15:commentEx w15:paraId="7A2E8BA0" w15:done="0"/>
  <w15:commentEx w15:paraId="613B6397" w15:done="0"/>
  <w15:commentEx w15:paraId="78980E42" w15:done="0"/>
  <w15:commentEx w15:paraId="13748364" w15:done="0"/>
  <w15:commentEx w15:paraId="03F83559" w15:done="0"/>
  <w15:commentEx w15:paraId="0399DAB0" w15:done="0"/>
  <w15:commentEx w15:paraId="535DC66F" w15:done="0"/>
  <w15:commentEx w15:paraId="0724100D" w15:done="0"/>
  <w15:commentEx w15:paraId="68F28409" w15:done="0"/>
  <w15:commentEx w15:paraId="6E7A6A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2E38756" w16cex:dateUtc="2026-02-10T01:43:58Z"/>
  <w16cex:commentExtensible w16cex:durableId="380A51FB" w16cex:dateUtc="2026-02-10T01:43:58Z"/>
  <w16cex:commentExtensible w16cex:durableId="2FA13C01" w16cex:dateUtc="2026-02-10T01:43:58Z"/>
  <w16cex:commentExtensible w16cex:durableId="275ED183" w16cex:dateUtc="2026-02-10T01:43:58Z"/>
  <w16cex:commentExtensible w16cex:durableId="147F2F46" w16cex:dateUtc="2026-02-10T01:43:58Z"/>
  <w16cex:commentExtensible w16cex:durableId="2321A809" w16cex:dateUtc="2026-02-10T01:43:58Z"/>
  <w16cex:commentExtensible w16cex:durableId="7CD9F9DA" w16cex:dateUtc="2026-02-10T01:43:58Z"/>
  <w16cex:commentExtensible w16cex:durableId="7EAFF155" w16cex:dateUtc="2026-02-10T01:43:58Z"/>
  <w16cex:commentExtensible w16cex:durableId="4CAA0DCF" w16cex:dateUtc="2026-02-10T01:43:58Z"/>
  <w16cex:commentExtensible w16cex:durableId="28936DA9" w16cex:dateUtc="2026-02-10T01:43:58Z"/>
  <w16cex:commentExtensible w16cex:durableId="5B21220B" w16cex:dateUtc="2026-02-10T01:43:58Z"/>
  <w16cex:commentExtensible w16cex:durableId="682B33D4" w16cex:dateUtc="2026-02-10T01:43:58Z"/>
  <w16cex:commentExtensible w16cex:durableId="717159FE" w16cex:dateUtc="2026-02-10T01:43:58Z"/>
  <w16cex:commentExtensible w16cex:durableId="01ED6A01" w16cex:dateUtc="2026-02-10T01:43:58Z"/>
  <w16cex:commentExtensible w16cex:durableId="0B4B3F34" w16cex:dateUtc="2026-02-10T01:43:5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DEABF3" w16cid:durableId="32E38756"/>
  <w16cid:commentId w16cid:paraId="131C4BF7" w16cid:durableId="380A51FB"/>
  <w16cid:commentId w16cid:paraId="5655D45F" w16cid:durableId="2FA13C01"/>
  <w16cid:commentId w16cid:paraId="0BA837F2" w16cid:durableId="275ED183"/>
  <w16cid:commentId w16cid:paraId="724F229E" w16cid:durableId="147F2F46"/>
  <w16cid:commentId w16cid:paraId="7A2E8BA0" w16cid:durableId="2321A809"/>
  <w16cid:commentId w16cid:paraId="613B6397" w16cid:durableId="7CD9F9DA"/>
  <w16cid:commentId w16cid:paraId="78980E42" w16cid:durableId="7EAFF155"/>
  <w16cid:commentId w16cid:paraId="13748364" w16cid:durableId="4CAA0DCF"/>
  <w16cid:commentId w16cid:paraId="03F83559" w16cid:durableId="28936DA9"/>
  <w16cid:commentId w16cid:paraId="0399DAB0" w16cid:durableId="5B21220B"/>
  <w16cid:commentId w16cid:paraId="535DC66F" w16cid:durableId="682B33D4"/>
  <w16cid:commentId w16cid:paraId="0724100D" w16cid:durableId="717159FE"/>
  <w16cid:commentId w16cid:paraId="68F28409" w16cid:durableId="01ED6A01"/>
  <w16cid:commentId w16cid:paraId="6E7A6A9E" w16cid:durableId="0B4B3F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2026-02-10T01:43:57.651Z</dcterms:created>
  <dcterms:modified xsi:type="dcterms:W3CDTF">2026-02-10T01:43:57.651Z</dcterms:modified>
</cp:coreProperties>
</file>

<file path=docProps/custom.xml><?xml version="1.0" encoding="utf-8"?>
<Properties xmlns="http://schemas.openxmlformats.org/officeDocument/2006/custom-properties" xmlns:vt="http://schemas.openxmlformats.org/officeDocument/2006/docPropsVTypes"/>
</file>