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Arial" w:cs="Arial" w:eastAsia="Arial" w:hAnsi="Arial"/>
          <w:b/>
          <w:bCs/>
          <w:color w:val="2B579A"/>
          <w:sz w:val="32"/>
          <w:szCs w:val="32"/>
        </w:rPr>
        <w:t xml:space="preserve">Review Summary</w:t>
      </w:r>
    </w:p>
    <w:p>
      <w:pPr>
        <w:spacing w:before="60" w:after="60"/>
      </w:pPr>
      <w:r>
        <w:rPr>
          <w:rFonts w:ascii="Arial" w:cs="Arial" w:eastAsia="Arial" w:hAnsi="Arial"/>
          <w:i/>
          <w:iCs/>
          <w:sz w:val="22"/>
          <w:szCs w:val="22"/>
        </w:rPr>
        <w:t xml:space="preserve">Document: Vendor Management Policy</w:t>
      </w:r>
    </w:p>
    <w:p>
      <w:pPr>
        <w:spacing w:before="60" w:after="60"/>
      </w:pPr>
      <w:r>
        <w:rPr>
          <w:rFonts w:ascii="Arial" w:cs="Arial" w:eastAsia="Arial" w:hAnsi="Arial"/>
          <w:sz w:val="22"/>
          <w:szCs w:val="22"/>
        </w:rPr>
        <w:t xml:space="preserve">Reviewer: PolicyLift Reviewer</w:t>
      </w:r>
    </w:p>
    <w:p>
      <w:pPr>
        <w:spacing w:before="60" w:after="120"/>
      </w:pPr>
      <w:r>
        <w:rPr>
          <w:rFonts w:ascii="Arial" w:cs="Arial" w:eastAsia="Arial" w:hAnsi="Arial"/>
          <w:sz w:val="22"/>
          <w:szCs w:val="22"/>
        </w:rPr>
        <w:t xml:space="preserve">Review Date: 2026-02-10</w:t>
      </w:r>
    </w:p>
    <w:p>
      <w:pPr>
        <w:pStyle w:val="Heading2"/>
        <w:spacing w:before="160" w:after="100"/>
      </w:pPr>
      <w:r>
        <w:rPr>
          <w:rFonts w:ascii="Arial" w:cs="Arial" w:eastAsia="Arial" w:hAnsi="Arial"/>
          <w:b/>
          <w:bCs/>
          <w:sz w:val="24"/>
          <w:szCs w:val="24"/>
        </w:rPr>
        <w:t xml:space="preserve">Flags by Category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tblGrid>
      <w:t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COMMITMENT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RECURRING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PROCESS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VENDOR/THIRD-PARTY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SCOPE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bl>
    <w:p>
      <w:pPr>
        <w:pStyle w:val="Heading2"/>
        <w:spacing w:before="200" w:after="100"/>
      </w:pPr>
      <w:r>
        <w:rPr>
          <w:rFonts w:ascii="Arial" w:cs="Arial" w:eastAsia="Arial" w:hAnsi="Arial"/>
          <w:b/>
          <w:bCs/>
          <w:sz w:val="24"/>
          <w:szCs w:val="24"/>
        </w:rPr>
        <w:t xml:space="preserve">Top Critical Items Requiring Immediate Attention</w:t>
      </w:r>
    </w:p>
    <w:p>
      <w:pPr>
        <w:pStyle w:val="ListParagraph"/>
        <w:numPr>
          <w:ilvl w:val="0"/>
          <w:numId w:val="2"/>
        </w:numPr>
        <w:spacing w:before="40" w:after="40"/>
      </w:pPr>
      <w:r>
        <w:rPr>
          <w:rFonts w:ascii="Arial" w:cs="Arial" w:eastAsia="Arial" w:hAnsi="Arial"/>
          <w:sz w:val="22"/>
          <w:szCs w:val="22"/>
        </w:rPr>
        <w:t xml:space="preserve">Critical third-party vendor inventory must be maintained</w:t>
      </w:r>
    </w:p>
    <w:p>
      <w:pPr>
        <w:pStyle w:val="ListParagraph"/>
        <w:numPr>
          <w:ilvl w:val="0"/>
          <w:numId w:val="2"/>
        </w:numPr>
        <w:spacing w:before="40" w:after="40"/>
      </w:pPr>
      <w:r>
        <w:rPr>
          <w:rFonts w:ascii="Arial" w:cs="Arial" w:eastAsia="Arial" w:hAnsi="Arial"/>
          <w:sz w:val="22"/>
          <w:szCs w:val="22"/>
        </w:rPr>
        <w:t xml:space="preserve">Risk assessment conducted before third-party access granted</w:t>
      </w:r>
    </w:p>
    <w:p>
      <w:pPr>
        <w:pStyle w:val="ListParagraph"/>
        <w:numPr>
          <w:ilvl w:val="0"/>
          <w:numId w:val="2"/>
        </w:numPr>
        <w:spacing w:before="40" w:after="40"/>
      </w:pPr>
      <w:r>
        <w:rPr>
          <w:rFonts w:ascii="Arial" w:cs="Arial" w:eastAsia="Arial" w:hAnsi="Arial"/>
          <w:sz w:val="22"/>
          <w:szCs w:val="22"/>
        </w:rPr>
        <w:t xml:space="preserve">Due diligence process required for all vendors</w:t>
      </w:r>
    </w:p>
    <w:p>
      <w:pPr>
        <w:pStyle w:val="ListParagraph"/>
        <w:numPr>
          <w:ilvl w:val="0"/>
          <w:numId w:val="2"/>
        </w:numPr>
        <w:spacing w:before="40" w:after="40"/>
      </w:pPr>
      <w:r>
        <w:rPr>
          <w:rFonts w:ascii="Arial" w:cs="Arial" w:eastAsia="Arial" w:hAnsi="Arial"/>
          <w:sz w:val="22"/>
          <w:szCs w:val="22"/>
        </w:rPr>
        <w:t xml:space="preserve">Vendor assessment identifies security risks</w:t>
      </w:r>
    </w:p>
    <w:p>
      <w:pPr>
        <w:pStyle w:val="ListParagraph"/>
        <w:numPr>
          <w:ilvl w:val="0"/>
          <w:numId w:val="2"/>
        </w:numPr>
        <w:spacing w:before="40" w:after="40"/>
      </w:pPr>
      <w:r>
        <w:rPr>
          <w:rFonts w:ascii="Arial" w:cs="Arial" w:eastAsia="Arial" w:hAnsi="Arial"/>
          <w:sz w:val="22"/>
          <w:szCs w:val="22"/>
        </w:rPr>
        <w:t xml:space="preserve">SOC 2 reports reviewed at onboarding and annually</w:t>
      </w:r>
    </w:p>
    <w:p>
      <w:pPr>
        <w:pStyle w:val="ListParagraph"/>
        <w:numPr>
          <w:ilvl w:val="0"/>
          <w:numId w:val="2"/>
        </w:numPr>
        <w:spacing w:before="40" w:after="40"/>
      </w:pPr>
      <w:r>
        <w:rPr>
          <w:rFonts w:ascii="Arial" w:cs="Arial" w:eastAsia="Arial" w:hAnsi="Arial"/>
          <w:sz w:val="22"/>
          <w:szCs w:val="22"/>
        </w:rPr>
        <w:t xml:space="preserve">Critical vendors without SOC 2 reports: quarterly risk assessments</w:t>
      </w:r>
    </w:p>
    <w:p>
      <w:pPr>
        <w:pStyle w:val="ListParagraph"/>
        <w:numPr>
          <w:ilvl w:val="0"/>
          <w:numId w:val="2"/>
        </w:numPr>
        <w:spacing w:before="40" w:after="40"/>
      </w:pPr>
      <w:r>
        <w:rPr>
          <w:rFonts w:ascii="Arial" w:cs="Arial" w:eastAsia="Arial" w:hAnsi="Arial"/>
          <w:sz w:val="22"/>
          <w:szCs w:val="22"/>
        </w:rPr>
        <w:t xml:space="preserve">Contracts must include confidentiality, security commitments, breach notification</w:t>
      </w:r>
    </w:p>
    <w:p>
      <w:pPr>
        <w:pStyle w:val="ListParagraph"/>
        <w:numPr>
          <w:ilvl w:val="0"/>
          <w:numId w:val="2"/>
        </w:numPr>
        <w:spacing w:before="40" w:after="40"/>
      </w:pPr>
      <w:r>
        <w:rPr>
          <w:rFonts w:ascii="Arial" w:cs="Arial" w:eastAsia="Arial" w:hAnsi="Arial"/>
          <w:sz w:val="22"/>
          <w:szCs w:val="22"/>
        </w:rPr>
        <w:t xml:space="preserve">Vendor access removed upon termination via checklist</w:t>
      </w:r>
    </w:p>
    <w:p>
      <w:pPr>
        <w:pStyle w:val="ListParagraph"/>
        <w:numPr>
          <w:ilvl w:val="0"/>
          <w:numId w:val="2"/>
        </w:numPr>
        <w:spacing w:before="40" w:after="40"/>
      </w:pPr>
      <w:r>
        <w:rPr>
          <w:rFonts w:ascii="Arial" w:cs="Arial" w:eastAsia="Arial" w:hAnsi="Arial"/>
          <w:sz w:val="22"/>
          <w:szCs w:val="22"/>
        </w:rPr>
        <w:t xml:space="preserve">Exit review ensures compliance with termination clauses</w:t>
      </w:r>
    </w:p>
    <w:p>
      <w:pPr>
        <w:pStyle w:val="Heading2"/>
        <w:spacing w:before="200" w:after="100"/>
      </w:pPr>
      <w:r>
        <w:rPr>
          <w:rFonts w:ascii="Arial" w:cs="Arial" w:eastAsia="Arial" w:hAnsi="Arial"/>
          <w:b/>
          <w:bCs/>
          <w:sz w:val="24"/>
          <w:szCs w:val="24"/>
        </w:rPr>
        <w:t xml:space="preserve">Role Mapping Reference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Role Referenced</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Suggested PolicyLift Owner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Management (Executive Management)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CEO, CTO, Head of Operations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Procurement Manager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DECISION NEEDED: Assign procurement responsibility (likely Head of Ops)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Contract Manager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DECISION NEEDED: Assign contract management (likely CEO or Head of Ops)</w:t>
            </w:r>
          </w:p>
        </w:tc>
      </w:tr>
    </w:tbl>
    <w:p>
      <w:r>
        <w:br w:type="page"/>
      </w:r>
    </w:p>
    <w:p>
      <w:pPr>
        <w:pStyle w:val="Heading1"/>
        <w:spacing w:before="0" w:after="200"/>
      </w:pPr>
      <w:r>
        <w:rPr>
          <w:rFonts w:ascii="Arial" w:cs="Arial" w:eastAsia="Arial" w:hAnsi="Arial"/>
          <w:b/>
          <w:bCs/>
          <w:sz w:val="32"/>
          <w:szCs w:val="32"/>
        </w:rPr>
        <w:t xml:space="preserve">Vendor Management Policy</w:t>
      </w:r>
    </w:p>
    <w:p>
      <w:pPr>
        <w:spacing w:before="60" w:after="60"/>
      </w:pPr>
      <w:commentRangeStart w:id="0"/>
      <w:r>
        <w:rPr>
          <w:rFonts w:ascii="Arial" w:cs="Arial" w:eastAsia="Arial" w:hAnsi="Arial"/>
          <w:sz w:val="22"/>
          <w:szCs w:val="22"/>
        </w:rPr>
        <w:t xml:space="preserve">The organization actively manages risks around third party vendors and their access to PolicyLift data.</w:t>
      </w:r>
      <w:commentRangeEnd w:id="0"/>
      <w:r>
        <w:rPr>
          <w:rStyle w:val="CommentReference"/>
        </w:rPr>
        <w:commentReference w:id="0"/>
      </w:r>
    </w:p>
    <w:p>
      <w:pPr>
        <w:spacing w:before="60" w:after="60"/>
      </w:pPr>
    </w:p>
    <w:p>
      <w:pPr>
        <w:pStyle w:val="Heading2"/>
        <w:spacing w:before="200" w:after="100"/>
      </w:pPr>
      <w:r>
        <w:rPr>
          <w:rFonts w:ascii="Arial" w:cs="Arial" w:eastAsia="Arial" w:hAnsi="Arial"/>
          <w:b/>
          <w:bCs/>
          <w:sz w:val="24"/>
          <w:szCs w:val="24"/>
        </w:rPr>
        <w:t xml:space="preserve">PolicyLift** **Vendor Management</w:t>
      </w:r>
    </w:p>
    <w:p>
      <w:pPr>
        <w:spacing w:before="60" w:after="60"/>
      </w:pPr>
    </w:p>
    <w:p>
      <w:pPr>
        <w:pStyle w:val="Heading3"/>
        <w:spacing w:before="160" w:after="80"/>
      </w:pPr>
      <w:r>
        <w:rPr>
          <w:rFonts w:ascii="Arial" w:cs="Arial" w:eastAsia="Arial" w:hAnsi="Arial"/>
          <w:b/>
          <w:bCs/>
          <w:sz w:val="22"/>
          <w:szCs w:val="22"/>
        </w:rPr>
        <w:t xml:space="preserve">Purpose</w:t>
      </w:r>
    </w:p>
    <w:p>
      <w:pPr>
        <w:spacing w:before="60" w:after="60"/>
      </w:pPr>
    </w:p>
    <w:p>
      <w:pPr>
        <w:spacing w:before="60" w:after="60"/>
      </w:pPr>
      <w:r>
        <w:rPr>
          <w:rFonts w:ascii="Arial" w:cs="Arial" w:eastAsia="Arial" w:hAnsi="Arial"/>
          <w:sz w:val="22"/>
          <w:szCs w:val="22"/>
        </w:rPr>
        <w:t xml:space="preserve">The purpose of this policy is to set forth the guidelines that should be followed to maintain the security of organization information systems and data when PolicyLift enters into any arrangement with a third-party supplier/vendor as well as to identify elements of managing vendors, due diligence, risk assessments as well as contract management.</w:t>
      </w:r>
    </w:p>
    <w:p>
      <w:pPr>
        <w:spacing w:before="60" w:after="60"/>
      </w:pPr>
    </w:p>
    <w:p>
      <w:pPr>
        <w:pStyle w:val="Heading3"/>
        <w:spacing w:before="160" w:after="80"/>
      </w:pPr>
      <w:r>
        <w:rPr>
          <w:rFonts w:ascii="Arial" w:cs="Arial" w:eastAsia="Arial" w:hAnsi="Arial"/>
          <w:b/>
          <w:bCs/>
          <w:sz w:val="22"/>
          <w:szCs w:val="22"/>
        </w:rPr>
        <w:t xml:space="preserve">Scope</w:t>
      </w:r>
    </w:p>
    <w:p>
      <w:pPr>
        <w:spacing w:before="60" w:after="60"/>
      </w:pPr>
    </w:p>
    <w:p>
      <w:pPr>
        <w:spacing w:before="60" w:after="60"/>
      </w:pPr>
      <w:commentRangeStart w:id="1"/>
      <w:r>
        <w:rPr>
          <w:rFonts w:ascii="Arial" w:cs="Arial" w:eastAsia="Arial" w:hAnsi="Arial"/>
          <w:sz w:val="22"/>
          <w:szCs w:val="22"/>
        </w:rPr>
        <w:t xml:space="preserve">The scope of this policy covers PolicyLift’s relationship with business partners, suppliers, or third-party vendors (collectively referred to as ‘vendors’ or ‘third-parties’) including any third-party with access to information, IT assets, IT infrastructure, or facilities of PolicyLift and its clients.</w:t>
      </w:r>
      <w:commentRangeEnd w:id="1"/>
      <w:r>
        <w:rPr>
          <w:rStyle w:val="CommentReference"/>
        </w:rPr>
        <w:commentReference w:id="1"/>
      </w:r>
    </w:p>
    <w:p>
      <w:pPr>
        <w:spacing w:before="60" w:after="60"/>
      </w:pPr>
    </w:p>
    <w:p>
      <w:pPr>
        <w:pStyle w:val="Heading3"/>
        <w:spacing w:before="160" w:after="80"/>
      </w:pPr>
      <w:r>
        <w:rPr>
          <w:rFonts w:ascii="Arial" w:cs="Arial" w:eastAsia="Arial" w:hAnsi="Arial"/>
          <w:b/>
          <w:bCs/>
          <w:sz w:val="22"/>
          <w:szCs w:val="22"/>
        </w:rPr>
        <w:t xml:space="preserve">Policy</w:t>
      </w:r>
    </w:p>
    <w:p>
      <w:pPr>
        <w:spacing w:before="60" w:after="60"/>
      </w:pPr>
    </w:p>
    <w:p>
      <w:pPr>
        <w:spacing w:before="60" w:after="60"/>
      </w:pPr>
      <w:r>
        <w:rPr>
          <w:rFonts w:ascii="Arial" w:cs="Arial" w:eastAsia="Arial" w:hAnsi="Arial"/>
          <w:sz w:val="22"/>
          <w:szCs w:val="22"/>
        </w:rPr>
        <w:t xml:space="preserve">The company has a vendor management policy in place, which includes:</w:t>
      </w:r>
    </w:p>
    <w:p>
      <w:pPr>
        <w:spacing w:before="60" w:after="60"/>
      </w:pPr>
    </w:p>
    <w:p>
      <w:pPr>
        <w:pStyle w:val="ListParagraph"/>
        <w:numPr>
          <w:ilvl w:val="0"/>
          <w:numId w:val="3"/>
        </w:numPr>
        <w:spacing w:before="40" w:after="40"/>
      </w:pPr>
      <w:commentRangeStart w:id="2"/>
      <w:r>
        <w:rPr>
          <w:rFonts w:ascii="Arial" w:cs="Arial" w:eastAsia="Arial" w:hAnsi="Arial"/>
          <w:sz w:val="22"/>
          <w:szCs w:val="22"/>
        </w:rPr>
        <w:t xml:space="preserve">Maintain critical third-party vendor inventory</w:t>
      </w:r>
      <w:commentRangeEnd w:id="2"/>
      <w:r>
        <w:rPr>
          <w:rStyle w:val="CommentReference"/>
        </w:rPr>
        <w:commentReference w:id="2"/>
      </w:r>
    </w:p>
    <w:p>
      <w:pPr>
        <w:spacing w:before="60" w:after="60"/>
      </w:pPr>
    </w:p>
    <w:p>
      <w:pPr>
        <w:pStyle w:val="ListParagraph"/>
        <w:numPr>
          <w:ilvl w:val="0"/>
          <w:numId w:val="3"/>
        </w:numPr>
        <w:spacing w:before="40" w:after="40"/>
      </w:pPr>
      <w:r>
        <w:rPr>
          <w:rFonts w:ascii="Arial" w:cs="Arial" w:eastAsia="Arial" w:hAnsi="Arial"/>
          <w:sz w:val="22"/>
          <w:szCs w:val="22"/>
        </w:rPr>
        <w:t xml:space="preserve">Review baseline vendor security requirements</w:t>
      </w:r>
    </w:p>
    <w:p>
      <w:pPr>
        <w:spacing w:before="60" w:after="60"/>
      </w:pPr>
    </w:p>
    <w:p>
      <w:pPr>
        <w:pStyle w:val="ListParagraph"/>
        <w:numPr>
          <w:ilvl w:val="0"/>
          <w:numId w:val="3"/>
        </w:numPr>
        <w:spacing w:before="40" w:after="40"/>
      </w:pPr>
      <w:r>
        <w:rPr>
          <w:rFonts w:ascii="Arial" w:cs="Arial" w:eastAsia="Arial" w:hAnsi="Arial"/>
          <w:sz w:val="22"/>
          <w:szCs w:val="22"/>
        </w:rPr>
        <w:t xml:space="preserve">Periodically evaluate the performance of critical third-party vendors</w:t>
      </w:r>
    </w:p>
    <w:p>
      <w:pPr>
        <w:spacing w:before="60" w:after="60"/>
      </w:pPr>
    </w:p>
    <w:p>
      <w:pPr>
        <w:pStyle w:val="ListParagraph"/>
        <w:numPr>
          <w:ilvl w:val="0"/>
          <w:numId w:val="3"/>
        </w:numPr>
        <w:spacing w:before="40" w:after="40"/>
      </w:pPr>
      <w:r>
        <w:rPr>
          <w:rFonts w:ascii="Arial" w:cs="Arial" w:eastAsia="Arial" w:hAnsi="Arial"/>
          <w:sz w:val="22"/>
          <w:szCs w:val="22"/>
        </w:rPr>
        <w:t xml:space="preserve">Conduct a vendor assessment to identify associated risks</w:t>
      </w:r>
    </w:p>
    <w:p>
      <w:pPr>
        <w:spacing w:before="60" w:after="60"/>
      </w:pPr>
    </w:p>
    <w:p>
      <w:pPr>
        <w:spacing w:before="60" w:after="60"/>
      </w:pPr>
    </w:p>
    <w:p>
      <w:pPr>
        <w:pStyle w:val="Heading3"/>
        <w:spacing w:before="160" w:after="80"/>
      </w:pPr>
      <w:r>
        <w:rPr>
          <w:rFonts w:ascii="Arial" w:cs="Arial" w:eastAsia="Arial" w:hAnsi="Arial"/>
          <w:b/>
          <w:bCs/>
          <w:sz w:val="22"/>
          <w:szCs w:val="22"/>
        </w:rPr>
        <w:t xml:space="preserve">Overview</w:t>
      </w:r>
    </w:p>
    <w:p>
      <w:pPr>
        <w:spacing w:before="60" w:after="60"/>
      </w:pPr>
    </w:p>
    <w:p>
      <w:pPr>
        <w:spacing w:before="60" w:after="60"/>
      </w:pPr>
      <w:commentRangeStart w:id="3"/>
      <w:r>
        <w:rPr>
          <w:rFonts w:ascii="Arial" w:cs="Arial" w:eastAsia="Arial" w:hAnsi="Arial"/>
          <w:sz w:val="22"/>
          <w:szCs w:val="22"/>
        </w:rPr>
        <w:t xml:space="preserve">We conduct risk assessments on all third parties operating within or collaboratively with the PolicyLift environment. Risk assessment activities must be conducted before the initiation of third parties work and be repeated an annual basis to identify any gaps between the third-party security controls and PolicyLift Information Security standards/regulatory requirements. This is done to ensure PolicyLift business data is being properly protected from unauthorized access, use, and modification.</w:t>
      </w:r>
      <w:commentRangeEnd w:id="3"/>
      <w:r>
        <w:rPr>
          <w:rStyle w:val="CommentReference"/>
        </w:rPr>
        <w:commentReference w:id="3"/>
      </w:r>
    </w:p>
    <w:p>
      <w:pPr>
        <w:spacing w:before="60" w:after="60"/>
      </w:pPr>
    </w:p>
    <w:p>
      <w:pPr>
        <w:spacing w:before="60" w:after="60"/>
      </w:pPr>
      <w:commentRangeStart w:id="4"/>
      <w:r>
        <w:rPr>
          <w:rFonts w:ascii="Arial" w:cs="Arial" w:eastAsia="Arial" w:hAnsi="Arial"/>
          <w:sz w:val="22"/>
          <w:szCs w:val="22"/>
        </w:rPr>
        <w:t xml:space="preserve">Before third-party access is granted to the PolicyLift network and systems, conduct a risk assessment of network connectivity.</w:t>
      </w:r>
      <w:commentRangeEnd w:id="4"/>
      <w:r>
        <w:rPr>
          <w:rStyle w:val="CommentReference"/>
        </w:rPr>
        <w:commentReference w:id="4"/>
      </w:r>
    </w:p>
    <w:p>
      <w:pPr>
        <w:spacing w:before="60" w:after="60"/>
      </w:pPr>
    </w:p>
    <w:p>
      <w:pPr>
        <w:pStyle w:val="Heading3"/>
        <w:spacing w:before="160" w:after="80"/>
      </w:pPr>
      <w:r>
        <w:rPr>
          <w:rFonts w:ascii="Arial" w:cs="Arial" w:eastAsia="Arial" w:hAnsi="Arial"/>
          <w:b/>
          <w:bCs/>
          <w:sz w:val="22"/>
          <w:szCs w:val="22"/>
        </w:rPr>
        <w:t xml:space="preserve">Due Diligence Process</w:t>
      </w:r>
    </w:p>
    <w:p>
      <w:pPr>
        <w:spacing w:before="60" w:after="60"/>
      </w:pPr>
    </w:p>
    <w:p>
      <w:pPr>
        <w:spacing w:before="60" w:after="60"/>
      </w:pPr>
      <w:r>
        <w:rPr>
          <w:rFonts w:ascii="Arial" w:cs="Arial" w:eastAsia="Arial" w:hAnsi="Arial"/>
          <w:sz w:val="22"/>
          <w:szCs w:val="22"/>
        </w:rPr>
        <w:t xml:space="preserve">We conduct internal due diligence to determine the nature and scope of the business activity to be outsourced and its relationship to the rest of the in-scope activities.</w:t>
      </w:r>
    </w:p>
    <w:p>
      <w:pPr>
        <w:spacing w:before="60" w:after="60"/>
      </w:pPr>
    </w:p>
    <w:p>
      <w:pPr>
        <w:spacing w:before="60" w:after="60"/>
      </w:pPr>
      <w:commentRangeStart w:id="5"/>
      <w:r>
        <w:rPr>
          <w:rFonts w:ascii="Arial" w:cs="Arial" w:eastAsia="Arial" w:hAnsi="Arial"/>
          <w:sz w:val="22"/>
          <w:szCs w:val="22"/>
        </w:rPr>
        <w:t xml:space="preserve">In selecting a service provider, or substantially amending or renewing a contract or outsourcing agreement, PolicyLift is expected to undertake a due diligence process that fully assesses the risks associated with the outsourcing arrangement and addresses all relevant aspects of the service provider, including qualitative and quantitative factors.</w:t>
      </w:r>
      <w:commentRangeEnd w:id="5"/>
      <w:r>
        <w:rPr>
          <w:rStyle w:val="CommentReference"/>
        </w:rPr>
        <w:commentReference w:id="5"/>
      </w:r>
    </w:p>
    <w:p>
      <w:pPr>
        <w:spacing w:before="60" w:after="60"/>
      </w:pPr>
    </w:p>
    <w:p>
      <w:pPr>
        <w:pStyle w:val="Heading3"/>
        <w:spacing w:before="160" w:after="80"/>
      </w:pPr>
      <w:r>
        <w:rPr>
          <w:rFonts w:ascii="Arial" w:cs="Arial" w:eastAsia="Arial" w:hAnsi="Arial"/>
          <w:b/>
          <w:bCs/>
          <w:sz w:val="22"/>
          <w:szCs w:val="22"/>
        </w:rPr>
        <w:t xml:space="preserve">Managing Outsourcing Risks</w:t>
      </w:r>
    </w:p>
    <w:p>
      <w:pPr>
        <w:spacing w:before="60" w:after="60"/>
      </w:pPr>
    </w:p>
    <w:p>
      <w:pPr>
        <w:spacing w:before="60" w:after="60"/>
      </w:pPr>
      <w:r>
        <w:rPr>
          <w:rFonts w:ascii="Arial" w:cs="Arial" w:eastAsia="Arial" w:hAnsi="Arial"/>
          <w:sz w:val="22"/>
          <w:szCs w:val="22"/>
        </w:rPr>
        <w:t xml:space="preserve">Prior to outsourcing any PolicyLift’s processes or services to a third party/vendor or allowing third party access to the organization's information or systems, the risks involved must be clearly identified and documented. Review of identified risks along with mitigation strategies or whether the risks are acceptable should be performed by executive management prior to engaging with vendors.</w:t>
      </w:r>
    </w:p>
    <w:p>
      <w:pPr>
        <w:spacing w:before="60" w:after="60"/>
      </w:pPr>
    </w:p>
    <w:p>
      <w:pPr>
        <w:spacing w:before="60" w:after="60"/>
      </w:pPr>
      <w:r>
        <w:rPr>
          <w:rFonts w:ascii="Arial" w:cs="Arial" w:eastAsia="Arial" w:hAnsi="Arial"/>
          <w:sz w:val="22"/>
          <w:szCs w:val="22"/>
        </w:rPr>
        <w:t xml:space="preserve">The risk categories that should be considered during the risk assessment process includes (but is not limited to):</w:t>
      </w:r>
    </w:p>
    <w:p>
      <w:pPr>
        <w:spacing w:before="60" w:after="60"/>
      </w:pPr>
    </w:p>
    <w:p>
      <w:pPr>
        <w:pStyle w:val="ListParagraph"/>
        <w:numPr>
          <w:ilvl w:val="0"/>
          <w:numId w:val="3"/>
        </w:numPr>
        <w:spacing w:before="40" w:after="40"/>
      </w:pPr>
      <w:r>
        <w:rPr>
          <w:rFonts w:ascii="Arial" w:cs="Arial" w:eastAsia="Arial" w:hAnsi="Arial"/>
          <w:sz w:val="22"/>
          <w:szCs w:val="22"/>
        </w:rPr>
        <w:t xml:space="preserve">Information security: assessment of third-party controls related to security, privacy, confidentiality and availability of data shared</w:t>
      </w:r>
    </w:p>
    <w:p>
      <w:pPr>
        <w:spacing w:before="60" w:after="60"/>
      </w:pPr>
    </w:p>
    <w:p>
      <w:pPr>
        <w:pStyle w:val="ListParagraph"/>
        <w:numPr>
          <w:ilvl w:val="0"/>
          <w:numId w:val="3"/>
        </w:numPr>
        <w:spacing w:before="40" w:after="40"/>
      </w:pPr>
      <w:r>
        <w:rPr>
          <w:rFonts w:ascii="Arial" w:cs="Arial" w:eastAsia="Arial" w:hAnsi="Arial"/>
          <w:sz w:val="22"/>
          <w:szCs w:val="22"/>
        </w:rPr>
        <w:t xml:space="preserve">Monitoring gaps: periodic assessments, ongoing monitoring, incident notification, offboarding, adherence, and appropriateness of SLAs</w:t>
      </w:r>
    </w:p>
    <w:p>
      <w:pPr>
        <w:spacing w:before="60" w:after="60"/>
      </w:pPr>
    </w:p>
    <w:p>
      <w:pPr>
        <w:pStyle w:val="ListParagraph"/>
        <w:numPr>
          <w:ilvl w:val="0"/>
          <w:numId w:val="3"/>
        </w:numPr>
        <w:spacing w:before="40" w:after="40"/>
      </w:pPr>
      <w:r>
        <w:rPr>
          <w:rFonts w:ascii="Arial" w:cs="Arial" w:eastAsia="Arial" w:hAnsi="Arial"/>
          <w:sz w:val="22"/>
          <w:szCs w:val="22"/>
        </w:rPr>
        <w:t xml:space="preserve">Business continuity: availability considerations as third-party services and solutions become more integrated to the core company offering or service provided</w:t>
      </w:r>
    </w:p>
    <w:p>
      <w:pPr>
        <w:spacing w:before="60" w:after="60"/>
      </w:pPr>
    </w:p>
    <w:p>
      <w:pPr>
        <w:pStyle w:val="ListParagraph"/>
        <w:numPr>
          <w:ilvl w:val="0"/>
          <w:numId w:val="3"/>
        </w:numPr>
        <w:spacing w:before="40" w:after="40"/>
      </w:pPr>
      <w:r>
        <w:rPr>
          <w:rFonts w:ascii="Arial" w:cs="Arial" w:eastAsia="Arial" w:hAnsi="Arial"/>
          <w:sz w:val="22"/>
          <w:szCs w:val="22"/>
        </w:rPr>
        <w:t xml:space="preserve">Data exposure: incorrectly classified data and unidentified data that could be exposed to the third-party</w:t>
      </w:r>
    </w:p>
    <w:p>
      <w:pPr>
        <w:spacing w:before="60" w:after="60"/>
      </w:pPr>
    </w:p>
    <w:p>
      <w:pPr>
        <w:pStyle w:val="ListParagraph"/>
        <w:numPr>
          <w:ilvl w:val="0"/>
          <w:numId w:val="3"/>
        </w:numPr>
        <w:spacing w:before="40" w:after="40"/>
      </w:pPr>
      <w:r>
        <w:rPr>
          <w:rFonts w:ascii="Arial" w:cs="Arial" w:eastAsia="Arial" w:hAnsi="Arial"/>
          <w:sz w:val="22"/>
          <w:szCs w:val="22"/>
        </w:rPr>
        <w:t xml:space="preserve">Regulatory requirements: regulators mandate the supervision of third-party suppliers for security, privacy, and data protection compliance</w:t>
      </w:r>
    </w:p>
    <w:p>
      <w:pPr>
        <w:spacing w:before="60" w:after="60"/>
      </w:pPr>
    </w:p>
    <w:p>
      <w:pPr>
        <w:pStyle w:val="ListParagraph"/>
        <w:numPr>
          <w:ilvl w:val="0"/>
          <w:numId w:val="3"/>
        </w:numPr>
        <w:spacing w:before="40" w:after="40"/>
      </w:pPr>
      <w:r>
        <w:rPr>
          <w:rFonts w:ascii="Arial" w:cs="Arial" w:eastAsia="Arial" w:hAnsi="Arial"/>
          <w:sz w:val="22"/>
          <w:szCs w:val="22"/>
        </w:rPr>
        <w:t xml:space="preserve">Due diligence: distributed IT environments, legacy/ longstanding suppliers, and use of subcontractors by the third party</w:t>
      </w:r>
    </w:p>
    <w:p>
      <w:pPr>
        <w:spacing w:before="60" w:after="60"/>
      </w:pPr>
    </w:p>
    <w:p>
      <w:pPr>
        <w:spacing w:before="60" w:after="60"/>
      </w:pPr>
    </w:p>
    <w:p>
      <w:pPr>
        <w:pStyle w:val="Heading3"/>
        <w:spacing w:before="160" w:after="80"/>
      </w:pPr>
      <w:r>
        <w:rPr>
          <w:rFonts w:ascii="Arial" w:cs="Arial" w:eastAsia="Arial" w:hAnsi="Arial"/>
          <w:b/>
          <w:bCs/>
          <w:sz w:val="22"/>
          <w:szCs w:val="22"/>
        </w:rPr>
        <w:t xml:space="preserve">Contract</w:t>
      </w:r>
    </w:p>
    <w:p>
      <w:pPr>
        <w:spacing w:before="60" w:after="60"/>
      </w:pPr>
    </w:p>
    <w:p>
      <w:pPr>
        <w:spacing w:before="60" w:after="60"/>
      </w:pPr>
      <w:commentRangeStart w:id="7"/>
      <w:r>
        <w:rPr>
          <w:rFonts w:ascii="Arial" w:cs="Arial" w:eastAsia="Arial" w:hAnsi="Arial"/>
          <w:sz w:val="22"/>
          <w:szCs w:val="22"/>
        </w:rPr>
        <w:t xml:space="preserve">At the time of onboarding of a vendor, the vendor must sign the vendor contract provided by PolicyLift or, if the vendor is an online service provider, then PolicyLift must accept the pre-defined terms of service of the vendor.</w:t>
      </w:r>
      <w:commentRangeEnd w:id="7"/>
      <w:r>
        <w:rPr>
          <w:rStyle w:val="CommentReference"/>
        </w:rPr>
        <w:commentReference w:id="7"/>
      </w:r>
    </w:p>
    <w:p>
      <w:pPr>
        <w:spacing w:before="60" w:after="60"/>
      </w:pPr>
    </w:p>
    <w:p>
      <w:pPr>
        <w:spacing w:before="60" w:after="60"/>
      </w:pPr>
      <w:commentRangeStart w:id="8"/>
      <w:r>
        <w:rPr>
          <w:rFonts w:ascii="Arial" w:cs="Arial" w:eastAsia="Arial" w:hAnsi="Arial"/>
          <w:sz w:val="22"/>
          <w:szCs w:val="22"/>
        </w:rPr>
        <w:t xml:space="preserve">Contracts that include exchange of confidential data must require confidentiality agreements to be executed by the vendor and shall identify applicable security policies and procedures to which the vendor is subjected. Contracts must clearly identify security reporting requirements that stipulate that the vendor is responsible for maintaining the security of confidential data, regardless of ownership. In the event of a breach of PolicyLift’s confidential data, the vendor is responsible for immediately notifying PolicyLift regarding incident details, recovery, and remediation.</w:t>
      </w:r>
      <w:commentRangeEnd w:id="8"/>
      <w:r>
        <w:rPr>
          <w:rStyle w:val="CommentReference"/>
        </w:rPr>
        <w:commentReference w:id="8"/>
      </w:r>
    </w:p>
    <w:p>
      <w:pPr>
        <w:spacing w:before="60" w:after="60"/>
      </w:pPr>
    </w:p>
    <w:p>
      <w:pPr>
        <w:spacing w:before="60" w:after="60"/>
      </w:pPr>
      <w:r>
        <w:rPr>
          <w:rFonts w:ascii="Arial" w:cs="Arial" w:eastAsia="Arial" w:hAnsi="Arial"/>
          <w:sz w:val="22"/>
          <w:szCs w:val="22"/>
        </w:rPr>
        <w:t xml:space="preserve">Third party access to PolicyLift information shall be granted only after authorization and signing the applicable agreements/contracts</w:t>
      </w:r>
    </w:p>
    <w:p>
      <w:pPr>
        <w:spacing w:before="60" w:after="60"/>
      </w:pPr>
    </w:p>
    <w:p>
      <w:pPr>
        <w:spacing w:before="60" w:after="60"/>
      </w:pPr>
      <w:commentRangeStart w:id="9"/>
      <w:r>
        <w:rPr>
          <w:rFonts w:ascii="Arial" w:cs="Arial" w:eastAsia="Arial" w:hAnsi="Arial"/>
          <w:sz w:val="22"/>
          <w:szCs w:val="22"/>
        </w:rPr>
        <w:t xml:space="preserve">The vendors' responsibilities, which includes security commitments and responsibilities, are documented and agreed with the vendors during the onboarding process.</w:t>
      </w:r>
      <w:commentRangeEnd w:id="9"/>
      <w:r>
        <w:rPr>
          <w:rStyle w:val="CommentReference"/>
        </w:rPr>
        <w:commentReference w:id="9"/>
      </w:r>
    </w:p>
    <w:p>
      <w:pPr>
        <w:spacing w:before="60" w:after="60"/>
      </w:pPr>
    </w:p>
    <w:p>
      <w:pPr>
        <w:pStyle w:val="Heading3"/>
        <w:spacing w:before="160" w:after="80"/>
      </w:pPr>
      <w:r>
        <w:rPr>
          <w:rFonts w:ascii="Arial" w:cs="Arial" w:eastAsia="Arial" w:hAnsi="Arial"/>
          <w:b/>
          <w:bCs/>
          <w:sz w:val="22"/>
          <w:szCs w:val="22"/>
        </w:rPr>
        <w:t xml:space="preserve">Oversight and Monitoring</w:t>
      </w:r>
    </w:p>
    <w:p>
      <w:pPr>
        <w:spacing w:before="60" w:after="60"/>
      </w:pPr>
    </w:p>
    <w:p>
      <w:pPr>
        <w:spacing w:before="60" w:after="60"/>
      </w:pPr>
      <w:commentRangeStart w:id="10"/>
      <w:r>
        <w:rPr>
          <w:rFonts w:ascii="Arial" w:cs="Arial" w:eastAsia="Arial" w:hAnsi="Arial"/>
          <w:sz w:val="22"/>
          <w:szCs w:val="22"/>
        </w:rPr>
        <w:t xml:space="preserve">At the time of onboarding and on an annual basis, management performs reviews of SOC 2 reports from service providers/vendors to review the appropriateness of scope, impact of identified exceptions, and applicable complementary user entity controls.</w:t>
      </w:r>
      <w:commentRangeEnd w:id="10"/>
      <w:r>
        <w:rPr>
          <w:rStyle w:val="CommentReference"/>
        </w:rPr>
        <w:commentReference w:id="10"/>
      </w:r>
    </w:p>
    <w:p>
      <w:pPr>
        <w:spacing w:before="60" w:after="60"/>
      </w:pPr>
    </w:p>
    <w:p>
      <w:pPr>
        <w:spacing w:before="60" w:after="60"/>
      </w:pPr>
      <w:commentRangeStart w:id="11"/>
      <w:r>
        <w:rPr>
          <w:rFonts w:ascii="Arial" w:cs="Arial" w:eastAsia="Arial" w:hAnsi="Arial"/>
          <w:sz w:val="22"/>
          <w:szCs w:val="22"/>
        </w:rPr>
        <w:t xml:space="preserve">For critical vendors that do not have a SOC 2 report but that have access to PolicyLift data or that impact the security of PolicyLift system, a quarterly vendor risk assessment is performed. During this assessment performance, service delivery and compliance with security commitments is also assessed.</w:t>
      </w:r>
      <w:commentRangeEnd w:id="11"/>
      <w:r>
        <w:rPr>
          <w:rStyle w:val="CommentReference"/>
        </w:rPr>
        <w:commentReference w:id="11"/>
      </w:r>
    </w:p>
    <w:p>
      <w:pPr>
        <w:spacing w:before="60" w:after="60"/>
      </w:pPr>
    </w:p>
    <w:p>
      <w:pPr>
        <w:spacing w:before="60" w:after="60"/>
      </w:pPr>
      <w:commentRangeStart w:id="12"/>
      <w:r>
        <w:rPr>
          <w:rFonts w:ascii="Arial" w:cs="Arial" w:eastAsia="Arial" w:hAnsi="Arial"/>
          <w:sz w:val="22"/>
          <w:szCs w:val="22"/>
        </w:rPr>
        <w:t xml:space="preserve">Corrective actions are taken as required based on the results of the assessments.</w:t>
      </w:r>
      <w:commentRangeEnd w:id="12"/>
      <w:r>
        <w:rPr>
          <w:rStyle w:val="CommentReference"/>
        </w:rPr>
        <w:commentReference w:id="12"/>
      </w:r>
    </w:p>
    <w:p>
      <w:pPr>
        <w:spacing w:before="60" w:after="60"/>
      </w:pPr>
    </w:p>
    <w:p>
      <w:pPr>
        <w:pStyle w:val="Heading3"/>
        <w:spacing w:before="160" w:after="80"/>
      </w:pPr>
      <w:r>
        <w:rPr>
          <w:rFonts w:ascii="Arial" w:cs="Arial" w:eastAsia="Arial" w:hAnsi="Arial"/>
          <w:b/>
          <w:bCs/>
          <w:sz w:val="22"/>
          <w:szCs w:val="22"/>
        </w:rPr>
        <w:t xml:space="preserve">Vendor Termination</w:t>
      </w:r>
    </w:p>
    <w:p>
      <w:pPr>
        <w:spacing w:before="60" w:after="60"/>
      </w:pPr>
    </w:p>
    <w:p>
      <w:pPr>
        <w:spacing w:before="60" w:after="60"/>
      </w:pPr>
      <w:commentRangeStart w:id="15"/>
      <w:commentRangeStart w:id="13"/>
      <w:r>
        <w:rPr>
          <w:rFonts w:ascii="Arial" w:cs="Arial" w:eastAsia="Arial" w:hAnsi="Arial"/>
          <w:sz w:val="22"/>
          <w:szCs w:val="22"/>
        </w:rPr>
        <w:t xml:space="preserve">PolicyLift has clauses in its agreements with vendors and service providers to terminate relationships when necessary. Vendor and service provider access is removed upon termination through a termination checklist and access is revoked as part of the termination process.</w:t>
      </w:r>
      <w:commentRangeEnd w:id="13"/>
      <w:r>
        <w:rPr>
          <w:rStyle w:val="CommentReference"/>
        </w:rPr>
        <w:commentReference w:id="13"/>
      </w:r>
      <w:commentRangeEnd w:id="15"/>
      <w:r>
        <w:rPr>
          <w:rStyle w:val="CommentReference"/>
        </w:rPr>
        <w:commentReference w:id="15"/>
      </w:r>
    </w:p>
    <w:p>
      <w:pPr>
        <w:spacing w:before="60" w:after="60"/>
      </w:pPr>
    </w:p>
    <w:p>
      <w:pPr>
        <w:spacing w:before="60" w:after="60"/>
      </w:pPr>
      <w:commentRangeStart w:id="14"/>
      <w:r>
        <w:rPr>
          <w:rFonts w:ascii="Arial" w:cs="Arial" w:eastAsia="Arial" w:hAnsi="Arial"/>
          <w:sz w:val="22"/>
          <w:szCs w:val="22"/>
        </w:rPr>
        <w:t xml:space="preserve">Upon termination of vendor services, contracts must require the return or destruction of all organization data unless otherwise agreed upon. Procurement and contract managers as designated by PolicyLift’s management shall immediately ensure termination of vendor’s access to PolicyLift systems and, if applicable, the facilities housing these systems.</w:t>
      </w:r>
      <w:commentRangeEnd w:id="14"/>
      <w:r>
        <w:rPr>
          <w:rStyle w:val="CommentReference"/>
        </w:rPr>
        <w:commentReference w:id="14"/>
      </w:r>
    </w:p>
    <w:p>
      <w:pPr>
        <w:spacing w:before="60" w:after="60"/>
      </w:pPr>
    </w:p>
    <w:p>
      <w:pPr>
        <w:spacing w:before="60" w:after="60"/>
      </w:pPr>
      <w:commentRangeStart w:id="16"/>
      <w:r>
        <w:rPr>
          <w:rFonts w:ascii="Arial" w:cs="Arial" w:eastAsia="Arial" w:hAnsi="Arial"/>
          <w:sz w:val="22"/>
          <w:szCs w:val="22"/>
        </w:rPr>
        <w:t xml:space="preserve">PolicyLift shall agree on appropriate provisions with such vendors to ensure the continued security of information and systems in the event that a contract is terminated or transferred to another supplier. Exit reviews on vendors to ensure compliance with termination clauses shall be performed.</w:t>
      </w:r>
      <w:commentRangeEnd w:id="16"/>
      <w:r>
        <w:rPr>
          <w:rStyle w:val="CommentReference"/>
        </w:rPr>
        <w:commentReference w:id="16"/>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PolicyLift Reviewer" w:date="2026-02-10T01:44:03Z" w:initials="PR">
    <w:p w14:paraId="151A0199" w14:textId="77777777">
      <w:r>
        <w:rPr>
          <w:rStyle w:val="CommentReference"/>
        </w:rPr>
        <w:annotationRef/>
      </w:r>
      <w:r>
        <w:rPr>
          <w:color w:val="000000"/>
          <w:sz w:val="20"/>
          <w:szCs w:val="20"/>
        </w:rPr>
        <w:t>COMMITMENT — Third-Party Vendor Risk Management
What this says: Policy affirms company commitment to manage vendor risks and their access to company data.
Why it matters: SOC 2 CC4.1 (risk oversight) requires third-party risk governance. For PolicyLift: Delve (pen testing), offshore dev agency, Supabase, payment processors are key vendors.
Recommendation: For each vendor, document: (1) Vendor name and service, (2) Data access (customer data? system access?), (3) Risk level (High/Medium/Low), (4) Controls (SOC 2 report? contract SLA?), (5) Review frequency (annual/quarterly). Create Vendor Risk Register (spreadsheet): Vendor | Service | Data Access | Risk Level | SOC 2? | Last Assessment | Next Assessment. Update quarterly. Use as evidence of active risk management.</w:t>
      </w:r>
    </w:p>
  </w:comment>
  <w:comment w:id="1" w:author="PolicyLift Reviewer" w:date="2026-02-10T01:44:03Z" w:initials="PR">
    <w:p w14:paraId="210B33EA" w14:textId="77777777">
      <w:r>
        <w:rPr>
          <w:rStyle w:val="CommentReference"/>
        </w:rPr>
        <w:annotationRef/>
      </w:r>
      <w:r>
        <w:rPr>
          <w:color w:val="000000"/>
          <w:sz w:val="20"/>
          <w:szCs w:val="20"/>
        </w:rPr>
        <w:t>SCOPE — Vendor Policy Scope and Applicability
What this says: Policy applies to all third-parties with access to PolicyLift information, IT assets, or facilities.
Why it matters: SOC 2 requires clarity on what vendors are in-scope. For PolicyLift, must include: offshore devs (agency), Supabase support, Delve, payment processor, HR/payroll vendor (if any).
Recommendation: Document Vendor Inventory (update quarterly): In-Scope Vendors: (1) Offshore dev agency (4 devs, code access, Supabase access), (2) Delve (pen testing, system access), (3) Supabase (data processor), (4) Stripe (payment processor, customer PII access), (5) Google Workspace (email/docs). Out-of-Scope: Cloud provider customer systems. Create Vendor Matrix: Vendor, Contact, Service, Data Accessed, Risk Level. Store in compliance folder. Provide to SOC 2 auditor.</w:t>
      </w:r>
    </w:p>
  </w:comment>
  <w:comment w:id="2" w:author="PolicyLift Reviewer" w:date="2026-02-10T01:44:03Z" w:initials="PR">
    <w:p w14:paraId="0943E3BA" w14:textId="77777777">
      <w:r>
        <w:rPr>
          <w:rStyle w:val="CommentReference"/>
        </w:rPr>
        <w:annotationRef/>
      </w:r>
      <w:r>
        <w:rPr>
          <w:color w:val="000000"/>
          <w:sz w:val="20"/>
          <w:szCs w:val="20"/>
        </w:rPr>
        <w:t>PROCESS — Critical Vendor Inventory and Security Requirements
What this says: Company must maintain inventory of critical vendors and establish baseline security requirements.
Why it matters: SOC 2 CC6.0 requires documented vendor management. Critical vendors are those with data/system access.
Recommendation: Create Vendor Security Requirements Baseline (apply to all vendors): (1) Security control scope (data encryption, access logs, incident response), (2) Compliance standards (SOC 2, HIPAA if applicable), (3) Incident notification (72 hours), (4) Audit rights (right to audit), (5) Business continuity (RTO/RPO), (6) Subcontractor management (no unauthorized subs). Document in Vendor Contract Template. For offshore dev agency: specific requirement is MFA + VPN + audit logging. For Supabase: require encryption, backup RTO.</w:t>
      </w:r>
    </w:p>
  </w:comment>
  <w:comment w:id="3" w:author="PolicyLift Reviewer" w:date="2026-02-10T01:44:03Z" w:initials="PR">
    <w:p w14:paraId="0615A2FE" w14:textId="77777777">
      <w:r>
        <w:rPr>
          <w:rStyle w:val="CommentReference"/>
        </w:rPr>
        <w:annotationRef/>
      </w:r>
      <w:r>
        <w:rPr>
          <w:color w:val="000000"/>
          <w:sz w:val="20"/>
          <w:szCs w:val="20"/>
        </w:rPr>
        <w:t>RECURRING — Pre-Onboarding Vendor Risk Assessment
What this says: Risk assessment required before third-party access granted; repeated annually.
Why it matters: SOC 2 CC6.0 requires documented risk assessment before granting access. Prevents risky vendors from accessing systems.
Recommendation: Vendor Onboarding Process: (1) Send vendor RFQ/questionnaire: business history, security practices, SOC 2 status, incident history, references, (2) Review SOC 2 report (if available) - check scope, exceptions, compensating controls, (3) Assess risk: Low (vendor has strong SOC 2), Medium (vendor has controls but no SOC 2), High (vendor has poor security), (4) DECISION: approve, approve with conditions, or reject. Document assessment in Vendor Assessment Form. For offshore dev agency: assess: team background checks, training, access controls, offshore location legal/regulatory (India?), geopolitical risk. Store assessment in compliance folder.</w:t>
      </w:r>
    </w:p>
  </w:comment>
  <w:comment w:id="4" w:author="PolicyLift Reviewer" w:date="2026-02-10T01:44:03Z" w:initials="PR">
    <w:p w14:paraId="4BD0961E" w14:textId="77777777">
      <w:r>
        <w:rPr>
          <w:rStyle w:val="CommentReference"/>
        </w:rPr>
        <w:annotationRef/>
      </w:r>
      <w:r>
        <w:rPr>
          <w:color w:val="000000"/>
          <w:sz w:val="20"/>
          <w:szCs w:val="20"/>
        </w:rPr>
        <w:t>PROCESS — Network Access Risk Assessment
What this says: Before granting system/network access, conduct risk assessment specific to network connectivity.
Why it matters: SOC 2 CC6.1 (logical access controls) requires assessment of access risks. Prevents unauthorized/insecure access.
Recommendation: Network Access Risk Assessment (for each vendor): (1) Access type: VPN? Direct API? Email? (2) Authentication: MFA required? (3) Data scope: full database or limited tables? (4) Audit capability: can we log access? (5) Approval chain: who authorizes? For offshore devs: require VPN + MFA + multi-factor auth (password + Yubikey), jump host with audit logging, IP whitelisting if possible, rate limiting on API. Document access provisioning in Access Control List (ACL): Vendor, User, System, Access Level, MFA Status, Approved By, Date. Store ACL in secure location; update quarterly.</w:t>
      </w:r>
    </w:p>
  </w:comment>
  <w:comment w:id="5" w:author="PolicyLift Reviewer" w:date="2026-02-10T01:44:03Z" w:initials="PR">
    <w:p w14:paraId="7EA6868C" w14:textId="77777777">
      <w:r>
        <w:rPr>
          <w:rStyle w:val="CommentReference"/>
        </w:rPr>
        <w:annotationRef/>
      </w:r>
      <w:r>
        <w:rPr>
          <w:color w:val="000000"/>
          <w:sz w:val="20"/>
          <w:szCs w:val="20"/>
        </w:rPr>
        <w:t>COMMITMENT — Due Diligence Process for Vendor Selection
What this says: Company must perform comprehensive due diligence before selecting/modifying vendor contracts.
Why it matters: SOC 2 requires documented vendor selection rigor. Due diligence identifies risks before they materialize.
Recommendation: Vendor Due Diligence Checklist (use before signing contracts): (1) Business legitimacy (company registration, references, financial stability), (2) Security practices (SOC 2 Type II ideal, Type I acceptable, none = risky), (3) Data handling (encryption, access logs, retention, deletion policies), (4) Incident history (breaches? disclosures?), (5) Compliance (GDPR, CCPA, HIPAA if applicable), (6) Insurance (cyber liability insurance?), (7) References (contact 2-3 customer references), (8) Financial viability (will they go bankrupt?), (9) Legal/regulatory risk (country of operation, sanctions?), (10) Contract terms (termination, audit rights, liability). Document findings in Due Diligence Summary. For offshore dev agency: verify: team background checks, training records, security policies, client reference, country compliance (DGFT approval if India).</w:t>
      </w:r>
    </w:p>
  </w:comment>
  <w:comment w:id="6" w:author="PolicyLift Reviewer" w:date="2026-02-10T01:44:03Z" w:initials="PR">
    <w:p w14:paraId="5992EEDD" w14:textId="77777777">
      <w:r>
        <w:rPr>
          <w:rStyle w:val="CommentReference"/>
        </w:rPr>
        <w:annotationRef/>
      </w:r>
      <w:r>
        <w:rPr>
          <w:color w:val="000000"/>
          <w:sz w:val="20"/>
          <w:szCs w:val="20"/>
        </w:rPr>
        <w:t>PROCESS — Outsourcing Risk Assessment Framework
What this says: Before outsourcing or granting access, identify and document risks; review with executive management; assess if risks acceptable.
Why it matters: SOC 2 requires documented risk analysis before outsourcing. Executive approval ensures accountability.
Recommendation: Outsourcing Risk Assessment (for each major vendor): (1) Identify processes/data being outsourced: Offshore dev team writes code + accesses Supabase. (2) Identify risks: Confidentiality breach (code theft), integrity (malicious code), availability (dev slowdown), compliance (data residency). (3) Risk categories (from policy): security (encryption, access control?), monitoring (audit logs?), business continuity (RTO/RPO?), data exposure (customer PII?), regulatory (GDPR compliance?), due diligence (subcontractors?). (4) Risk scores (High/Medium/Low for each). (5) Mitigation (contract SLA, audit rights, insurance). (6) Executive sign-off. Document in Outsourcing Risk Assessment form. For offshore dev agency: high-risk items are data access (require encryption, audit logging) and confidentiality (require NDA, non-compete).</w:t>
      </w:r>
    </w:p>
  </w:comment>
  <w:comment w:id="7" w:author="PolicyLift Reviewer" w:date="2026-02-10T01:44:03Z" w:initials="PR">
    <w:p w14:paraId="5826A647" w14:textId="77777777">
      <w:r>
        <w:rPr>
          <w:rStyle w:val="CommentReference"/>
        </w:rPr>
        <w:annotationRef/>
      </w:r>
      <w:r>
        <w:rPr>
          <w:color w:val="000000"/>
          <w:sz w:val="20"/>
          <w:szCs w:val="20"/>
        </w:rPr>
        <w:t>COMMITMENT — Vendor Contract and Service Level Agreement
What this says: All vendors must sign PolicyLift’s contract or accept vendor’s pre-defined terms; contracts must include confidentiality, security, and breach notification.
Why it matters: SOC 2 requires contractual security commitments. Vendor contracts are evidence of control implementation.
Recommendation: Create PolicyLift Vendor Contract Template (use for all vendors): (1) Service scope (what vendor provides), (2) Data access (what data vendor can access), (3) Security requirements (encryption, access logs, incident response), (4) Confidentiality clause (non-disclosure of PolicyLift data), (5) Liability (vendor responsible for breaches), (6) Incident notification (vendor notifies PolicyLift within 72 hours of breach), (7) Audit rights (PolicyLift can audit vendor), (8) Term &amp; termination (how to end relationship), (9) Data return/destruction (vendor returns/destroys data on termination), (10) Insurance (vendor carries cyber liability insurance). For vendors with pre-defined terms (Supabase, Stripe): review terms against template; if missing security clause, negotiate addendum or add Data Processing Addendum (DPA). Store signed contracts in /compliance/vendor_contracts/.</w:t>
      </w:r>
    </w:p>
  </w:comment>
  <w:comment w:id="8" w:author="PolicyLift Reviewer" w:date="2026-02-10T01:44:03Z" w:initials="PR">
    <w:p w14:paraId="363E04B0" w14:textId="77777777">
      <w:r>
        <w:rPr>
          <w:rStyle w:val="CommentReference"/>
        </w:rPr>
        <w:annotationRef/>
      </w:r>
      <w:r>
        <w:rPr>
          <w:color w:val="000000"/>
          <w:sz w:val="20"/>
          <w:szCs w:val="20"/>
        </w:rPr>
        <w:t>PROCESS — Confidentiality and Security Agreements
What this says: Vendors accessing confidential data must sign confidentiality agreements; contracts must specify security policies vendors must follow.
Why it matters: SOC 2 CC6.0 requires documented confidentiality controls. Vendor confidentiality is evidence of data protection.
Recommendation: Vendor Confidentiality Agreement (part of contract or separate NDA): (1) Definition of confidential data (customer PII, payment data, proprietary code, business plans), (2) Permitted uses (only for stated vendor service), (3) Non-disclosure (vendor must not disclose to third parties), (4) Duration (confidentiality extends X years beyond contract), (5) Return/destruction (vendor must return/destroy data on termination), (6) Breach consequences (vendor liable for damages). Security Addendum (for vendors with data access): (1) encryption requirements (in transit, at rest), (2) access controls (MFA, VPN, IP whitelisting), (3) audit logs (vendor maintains 90-day audit trail), (4) incident notification (72-hour breach reporting), (5) compliance (SOC 2, GDPR if applicable). For offshore dev agency: include specific clause: ’Dev team must not disclose PolicyLift code or customer data to any other customer or party.’</w:t>
      </w:r>
    </w:p>
  </w:comment>
  <w:comment w:id="9" w:author="PolicyLift Reviewer" w:date="2026-02-10T01:44:03Z" w:initials="PR">
    <w:p w14:paraId="37103FC1" w14:textId="77777777">
      <w:r>
        <w:rPr>
          <w:rStyle w:val="CommentReference"/>
        </w:rPr>
        <w:annotationRef/>
      </w:r>
      <w:r>
        <w:rPr>
          <w:color w:val="000000"/>
          <w:sz w:val="20"/>
          <w:szCs w:val="20"/>
        </w:rPr>
        <w:t>COMMITMENT — Documented Vendor Security Responsibilities
What this says: Vendor responsibilities and security commitments must be formally documented and agreed during onboarding.
Why it matters: SOC 2 requires clear documented expectations. Prevents disputes over security obligations.
Recommendation: Create Vendor Onboarding Checklist (use for each new vendor): (1) Contract signed by authorized signatories, (2) NDA/confidentiality agreement signed, (3) Security addendum reviewed and accepted, (4) Data access provisioned per contract (VPN, credentials, systems), (5) Vendor acknowledges responsibility for: data confidentiality, access security, incident notification, audit cooperation, (6) Training provided (if needed for data handling), (7) Emergency contact information collected, (8) Approval documented by CEO/CTO. Store checklist in vendor file. For offshore dev agency: ensure contract specifies: team must complete security training, must use MFA, must report access from unusual locations, must notify of team changes, must allow random audits.</w:t>
      </w:r>
    </w:p>
  </w:comment>
  <w:comment w:id="10" w:author="PolicyLift Reviewer" w:date="2026-02-10T01:44:03Z" w:initials="PR">
    <w:p w14:paraId="3AB710E5" w14:textId="77777777">
      <w:r>
        <w:rPr>
          <w:rStyle w:val="CommentReference"/>
        </w:rPr>
        <w:annotationRef/>
      </w:r>
      <w:r>
        <w:rPr>
          <w:color w:val="000000"/>
          <w:sz w:val="20"/>
          <w:szCs w:val="20"/>
        </w:rPr>
        <w:t>RECURRING — Annual SOC 2 Report Review
What this says: At onboarding and annually, review SOC 2 reports from vendors; assess scope, exceptions, and complementary controls.
Why it matters: SOC 2 is gold standard for vendor security. Report review is key evidence of vendor oversight.
Recommendation: Annual Vendor SOC 2 Review (for Supabase, payment processor, any SaaS vendor): (1) Request latest SOC 2 Type II report (or Type I if Type II not available), (2) Review scope: does it cover services PolicyLift uses? (3) Check exceptions: any audit exceptions (control failures)? (4) Assess impact: would exception affect PolicyLift? (5) Complementary controls: what controls does PolicyLift need to implement? (6) Document findings in Vendor Assessment Update. Example: Supabase SOC 2 review: Scope includes Postgres encryption, access controls. Exceptions: audit logging delayed 1 hour (acceptable). Complementary control: PolicyLift implements application-layer audit logging for sensitive operations. Update Vendor Risk Register with review date and findings.</w:t>
      </w:r>
    </w:p>
  </w:comment>
  <w:comment w:id="11" w:author="PolicyLift Reviewer" w:date="2026-02-10T01:44:03Z" w:initials="PR">
    <w:p w14:paraId="58F204D9" w14:textId="77777777">
      <w:r>
        <w:rPr>
          <w:rStyle w:val="CommentReference"/>
        </w:rPr>
        <w:annotationRef/>
      </w:r>
      <w:r>
        <w:rPr>
          <w:color w:val="000000"/>
          <w:sz w:val="20"/>
          <w:szCs w:val="20"/>
        </w:rPr>
        <w:t>RECURRING — Quarterly Vendor Risk Assessment for Non-SOC 2 Vendors
What this says: For critical vendors without SOC 2 reports, conduct quarterly vendor risk assessment covering performance and security compliance.
Why it matters: SOC 2 requires ongoing vendor oversight. Quarterly assessment compensates for lack of SOC 2 report.
Recommendation: Quarterly Vendor Risk Assessment (for offshore dev agency and any vendor without SOC 2): (1) Service delivery review (are SLAs met? response time, uptime?), (2) Security compliance (any incidents? any access violations? audit logs reviewed?), (3) Staffing changes (any new team members? background check done?), (4) Compliance updates (any new regulations?), (5) Issues/risks (anything to escalate?). Assessment template: Vendor, Review Date, Reviewer, Service Delivery Status (Green/Yellow/Red), Security Compliance Status, Issues, Corrective Actions, Next Review Date. For offshore dev agency: specifically assess: (1) access logs (any unusual access?), (2) code reviews (security review of code committed?), (3) training (security training current?), (4) incidents (any breaches reported?), (5) staffing (any changes?). Store assessments in vendor file; report to RGEC quarterly.</w:t>
      </w:r>
    </w:p>
  </w:comment>
  <w:comment w:id="12" w:author="PolicyLift Reviewer" w:date="2026-02-10T01:44:03Z" w:initials="PR">
    <w:p w14:paraId="6D2EF0F9" w14:textId="77777777">
      <w:r>
        <w:rPr>
          <w:rStyle w:val="CommentReference"/>
        </w:rPr>
        <w:annotationRef/>
      </w:r>
      <w:r>
        <w:rPr>
          <w:color w:val="000000"/>
          <w:sz w:val="20"/>
          <w:szCs w:val="20"/>
        </w:rPr>
        <w:t>PROCESS — Vendor Assessment Findings and Corrective Action
What this says: Based on assessment results, corrective actions are taken as needed.
Why it matters: SOC 2 requires follow-through on findings. Assessments with no action are meaningless.
Recommendation: Vendor Corrective Action Log (track all assessment findings): Finding (from assessment), Severity (High/Medium/Low), Vendor Response Required, Target Resolution Date, Status (Open/In Progress/Closed), Evidence of Resolution. Example: Finding: ’Offshore dev team password policy not enforced.’ Severity: High. Action Required: ’Implement MFA for all offshore dev accounts within 30 days.’ Status: In Progress. Evidence Needed: MFA setup confirmation. Track weekly; escalate if overdue. Report to RGEC quarterly. Close findings only when vendor provides evidence and CTO/CEO verifies.</w:t>
      </w:r>
    </w:p>
  </w:comment>
  <w:comment w:id="13" w:author="PolicyLift Reviewer" w:date="2026-02-10T01:44:03Z" w:initials="PR">
    <w:p w14:paraId="4ECBB4A6" w14:textId="77777777">
      <w:r>
        <w:rPr>
          <w:rStyle w:val="CommentReference"/>
        </w:rPr>
        <w:annotationRef/>
      </w:r>
      <w:r>
        <w:rPr>
          <w:color w:val="000000"/>
          <w:sz w:val="20"/>
          <w:szCs w:val="20"/>
        </w:rPr>
        <w:t>COMMITMENT — Vendor Termination Clauses and Process
What this says: Contracts include clauses allowing termination; upon termination, vendor access is removed via checklist; data is returned/destroyed.
Why it matters: SOC 2 CC6.1 requires controlled access removal. Vendor exit process ensures data security after relationship ends.
Recommendation: Vendor Termination Clause (in contract): ’Either party may terminate with 30 days written notice. Upon termination, (1) vendor shall cease all access to PolicyLift systems within 24 hours, (2) vendor shall return all PolicyLift data/documents within 48 hours or certify destruction, (3) vendor shall provide certificate of destruction, (4) vendor shall cooperate with audit of termination.’ Vendor Offboarding Checklist: (1) Termination date set, (2) Vendor notified, (3) System access revoked (Supabase, VPN, email), (4) Data returned/destroyed, (5) Certificate of destruction received, (6) Final audit performed, (7) Contract archived, (8) Offboarding date documented.</w:t>
      </w:r>
    </w:p>
  </w:comment>
  <w:comment w:id="14" w:author="PolicyLift Reviewer" w:date="2026-02-10T01:44:03Z" w:initials="PR">
    <w:p w14:paraId="16580A79" w14:textId="77777777">
      <w:r>
        <w:rPr>
          <w:rStyle w:val="CommentReference"/>
        </w:rPr>
        <w:annotationRef/>
      </w:r>
      <w:r>
        <w:rPr>
          <w:color w:val="000000"/>
          <w:sz w:val="20"/>
          <w:szCs w:val="20"/>
        </w:rPr>
        <w:t>ROLE — Procurement and Contract Manager Responsibilities
What this says: Designated procurement and contract managers must immediately terminate vendor access upon contract end.
Why it matters: SOC 2 CC6.1 (access control termination). Clear role assignment ensures timely access removal.
Recommendation: DECISION: Assign roles: (1) Procurement Manager: [Name, likely Head of Ops] - responsible for vendor selection, contract negotiation, ordering, (2) Contract Manager: [Name, likely CEO or Head of Ops] - responsible for contract execution, oversight, termination. Document role assignments in Policy Addendum. Job duties: Procurement Manager oversees vendor due diligence, RFQ process, contract negotiation. Contract Manager executes contracts, monitors compliance, terminates on schedule. Upon vendor termination, Contract Manager (within 24 hours): (1) revokes system access (Supabase, VPN, email), (2) verifies offshore dev agency confirms termination date, (3) confirms data deletion, (4) documents completion. Create checklist template for each termination.</w:t>
      </w:r>
    </w:p>
  </w:comment>
  <w:comment w:id="15" w:author="PolicyLift Reviewer" w:date="2026-02-10T01:44:03Z" w:initials="PR">
    <w:p w14:paraId="6A5222D6" w14:textId="77777777">
      <w:r>
        <w:rPr>
          <w:rStyle w:val="CommentReference"/>
        </w:rPr>
        <w:annotationRef/>
      </w:r>
      <w:r>
        <w:rPr>
          <w:color w:val="000000"/>
          <w:sz w:val="20"/>
          <w:szCs w:val="20"/>
        </w:rPr>
        <w:t>PROCESS — Vendor Offboarding and Access Removal Checklist
What this says: Formal termination checklist ensures all vendor access is revoked and data is secured.
Why it matters: SOC 2 CC6.1 requires documented access removal. Checklist prevents forgotten access and data leaks.
Recommendation: Create Vendor Offboarding Checklist (use for each vendor termination): (1) Date of termination, (2) Vendor name, (3) Services provided, (4) Data access (what data vendor had), (5) System access: VPN (revoke?), Email (disable?), Supabase (remove account?), Code repo (remove access?), (6) Physical access (keys, badges, laptops), (7) Data return: Vendor returns all documents, code, data within 48 hours, (8) Certificate of destruction: Vendor confirms data deleted from systems, (9) Final audit: CTO reviews access logs to confirm no access post-termination, (10) Signed approval: Head of Ops and CTO sign-off on completion, (11) Date completed, (12) Archive contract and checklist in vendor file. For offshore dev agency: ensure (1) all 4 devs lose access, (2) GitHub access removed, (3) Supabase credentials deleted, (4) VPN revoked, (5) agency confirms no backup access, (6) final audit of access logs.</w:t>
      </w:r>
    </w:p>
  </w:comment>
  <w:comment w:id="16" w:author="PolicyLift Reviewer" w:date="2026-02-10T01:44:03Z" w:initials="PR">
    <w:p w14:paraId="5E343DAB" w14:textId="77777777">
      <w:r>
        <w:rPr>
          <w:rStyle w:val="CommentReference"/>
        </w:rPr>
        <w:annotationRef/>
      </w:r>
      <w:r>
        <w:rPr>
          <w:color w:val="000000"/>
          <w:sz w:val="20"/>
          <w:szCs w:val="20"/>
        </w:rPr>
        <w:t>PROCESS — Vendor Exit Review and Compliance Verification
What this says: Upon vendor termination, conduct exit review to verify vendor complied with termination clauses (data return, access removal, etc.).
Why it matters: SOC 2 requires verification of vendor exit compliance. Prevents data retention by departed vendor.
Recommendation: Vendor Exit Review Form (completed within 30 days of termination): (1) Vendor name, termination date, (2) Services provided, (3) Data accessed, (4) Termination clause verification: ’Did vendor cease access within 24 hours?’ (Y/N), ’Did vendor return/destroy data within 48 hours?’ (Y/N), ’Did vendor provide certificate of destruction?’ (Y/N), (5) Compliance findings: any non-compliance noted? (6) Corrective actions: if non-compliance, what actions taken? (7) Approved by: CTO and Head of Ops sign-off. Store exit review in vendor file. Report any non-compliance to RGEC. For offshore dev agency termination: specific checks: (1) GitHub access revoked, (2) Supabase access removed, (3) VPN credentials invalidated, (4) agency provides signed statement confirming no data retained, (5) final access log audit shows no post-termination access.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1A0199" w15:done="0"/>
  <w15:commentEx w15:paraId="210B33EA" w15:done="0"/>
  <w15:commentEx w15:paraId="0943E3BA" w15:done="0"/>
  <w15:commentEx w15:paraId="0615A2FE" w15:done="0"/>
  <w15:commentEx w15:paraId="4BD0961E" w15:done="0"/>
  <w15:commentEx w15:paraId="7EA6868C" w15:done="0"/>
  <w15:commentEx w15:paraId="5992EEDD" w15:done="0"/>
  <w15:commentEx w15:paraId="5826A647" w15:done="0"/>
  <w15:commentEx w15:paraId="363E04B0" w15:done="0"/>
  <w15:commentEx w15:paraId="37103FC1" w15:done="0"/>
  <w15:commentEx w15:paraId="3AB710E5" w15:done="0"/>
  <w15:commentEx w15:paraId="58F204D9" w15:done="0"/>
  <w15:commentEx w15:paraId="6D2EF0F9" w15:done="0"/>
  <w15:commentEx w15:paraId="4ECBB4A6" w15:done="0"/>
  <w15:commentEx w15:paraId="16580A79" w15:done="0"/>
  <w15:commentEx w15:paraId="6A5222D6" w15:done="0"/>
  <w15:commentEx w15:paraId="5E343D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AE33AE1" w16cex:dateUtc="2026-02-10T01:44:03Z"/>
  <w16cex:commentExtensible w16cex:durableId="6445A823" w16cex:dateUtc="2026-02-10T01:44:03Z"/>
  <w16cex:commentExtensible w16cex:durableId="40F4CBA8" w16cex:dateUtc="2026-02-10T01:44:03Z"/>
  <w16cex:commentExtensible w16cex:durableId="5BD54CA0" w16cex:dateUtc="2026-02-10T01:44:03Z"/>
  <w16cex:commentExtensible w16cex:durableId="0EA6CC17" w16cex:dateUtc="2026-02-10T01:44:03Z"/>
  <w16cex:commentExtensible w16cex:durableId="689EB2CA" w16cex:dateUtc="2026-02-10T01:44:03Z"/>
  <w16cex:commentExtensible w16cex:durableId="71103F18" w16cex:dateUtc="2026-02-10T01:44:03Z"/>
  <w16cex:commentExtensible w16cex:durableId="3A03334F" w16cex:dateUtc="2026-02-10T01:44:03Z"/>
  <w16cex:commentExtensible w16cex:durableId="77FB1D85" w16cex:dateUtc="2026-02-10T01:44:03Z"/>
  <w16cex:commentExtensible w16cex:durableId="61BDD636" w16cex:dateUtc="2026-02-10T01:44:03Z"/>
  <w16cex:commentExtensible w16cex:durableId="181C67C5" w16cex:dateUtc="2026-02-10T01:44:03Z"/>
  <w16cex:commentExtensible w16cex:durableId="560F53D5" w16cex:dateUtc="2026-02-10T01:44:03Z"/>
  <w16cex:commentExtensible w16cex:durableId="39D817BD" w16cex:dateUtc="2026-02-10T01:44:03Z"/>
  <w16cex:commentExtensible w16cex:durableId="7DB7DD8D" w16cex:dateUtc="2026-02-10T01:44:03Z"/>
  <w16cex:commentExtensible w16cex:durableId="6DE131F4" w16cex:dateUtc="2026-02-10T01:44:03Z"/>
  <w16cex:commentExtensible w16cex:durableId="596CF9AB" w16cex:dateUtc="2026-02-10T01:44:03Z"/>
  <w16cex:commentExtensible w16cex:durableId="4EB17A77" w16cex:dateUtc="2026-02-10T01:44:0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1A0199" w16cid:durableId="3AE33AE1"/>
  <w16cid:commentId w16cid:paraId="210B33EA" w16cid:durableId="6445A823"/>
  <w16cid:commentId w16cid:paraId="0943E3BA" w16cid:durableId="40F4CBA8"/>
  <w16cid:commentId w16cid:paraId="0615A2FE" w16cid:durableId="5BD54CA0"/>
  <w16cid:commentId w16cid:paraId="4BD0961E" w16cid:durableId="0EA6CC17"/>
  <w16cid:commentId w16cid:paraId="7EA6868C" w16cid:durableId="689EB2CA"/>
  <w16cid:commentId w16cid:paraId="5992EEDD" w16cid:durableId="71103F18"/>
  <w16cid:commentId w16cid:paraId="5826A647" w16cid:durableId="3A03334F"/>
  <w16cid:commentId w16cid:paraId="363E04B0" w16cid:durableId="77FB1D85"/>
  <w16cid:commentId w16cid:paraId="37103FC1" w16cid:durableId="61BDD636"/>
  <w16cid:commentId w16cid:paraId="3AB710E5" w16cid:durableId="181C67C5"/>
  <w16cid:commentId w16cid:paraId="58F204D9" w16cid:durableId="560F53D5"/>
  <w16cid:commentId w16cid:paraId="6D2EF0F9" w16cid:durableId="39D817BD"/>
  <w16cid:commentId w16cid:paraId="4ECBB4A6" w16cid:durableId="7DB7DD8D"/>
  <w16cid:commentId w16cid:paraId="16580A79" w16cid:durableId="6DE131F4"/>
  <w16cid:commentId w16cid:paraId="6A5222D6" w16cid:durableId="596CF9AB"/>
  <w16cid:commentId w16cid:paraId="5E343DAB" w16cid:durableId="4EB17A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PolicyLift SOC 2 Policy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2026-02-10T01:44:03.320Z</dcterms:created>
  <dcterms:modified xsi:type="dcterms:W3CDTF">2026-02-10T01:44:03.320Z</dcterms:modified>
</cp:coreProperties>
</file>

<file path=docProps/custom.xml><?xml version="1.0" encoding="utf-8"?>
<Properties xmlns="http://schemas.openxmlformats.org/officeDocument/2006/custom-properties" xmlns:vt="http://schemas.openxmlformats.org/officeDocument/2006/docPropsVTypes"/>
</file>