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Board of Directors Charter</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DECISION_NEEDED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CEO delegated board authority over operations and administration</w:t>
      </w:r>
    </w:p>
    <w:p>
      <w:pPr>
        <w:pStyle w:val="ListParagraph"/>
        <w:numPr>
          <w:ilvl w:val="0"/>
          <w:numId w:val="2"/>
        </w:numPr>
        <w:spacing w:before="40" w:after="40"/>
      </w:pPr>
      <w:r>
        <w:rPr>
          <w:rFonts w:ascii="Arial" w:cs="Arial" w:eastAsia="Arial" w:hAnsi="Arial"/>
          <w:sz w:val="22"/>
          <w:szCs w:val="22"/>
        </w:rPr>
        <w:t xml:space="preserve">CEO must oversee critical systems and procedures for effective, efficient, legal compliance</w:t>
      </w:r>
    </w:p>
    <w:p>
      <w:pPr>
        <w:pStyle w:val="ListParagraph"/>
        <w:numPr>
          <w:ilvl w:val="0"/>
          <w:numId w:val="2"/>
        </w:numPr>
        <w:spacing w:before="40" w:after="40"/>
      </w:pPr>
      <w:r>
        <w:rPr>
          <w:rFonts w:ascii="Arial" w:cs="Arial" w:eastAsia="Arial" w:hAnsi="Arial"/>
          <w:sz w:val="22"/>
          <w:szCs w:val="22"/>
        </w:rPr>
        <w:t xml:space="preserve">CEO responsible for security and compliance oversight and data management risk mitigation</w:t>
      </w:r>
    </w:p>
    <w:p>
      <w:pPr>
        <w:pStyle w:val="ListParagraph"/>
        <w:numPr>
          <w:ilvl w:val="0"/>
          <w:numId w:val="2"/>
        </w:numPr>
        <w:spacing w:before="40" w:after="40"/>
      </w:pPr>
      <w:r>
        <w:rPr>
          <w:rFonts w:ascii="Arial" w:cs="Arial" w:eastAsia="Arial" w:hAnsi="Arial"/>
          <w:sz w:val="22"/>
          <w:szCs w:val="22"/>
        </w:rPr>
        <w:t xml:space="preserve">Annual management/board meeting required to review strategy, governance, risk assessment, succession plans</w:t>
      </w:r>
    </w:p>
    <w:p>
      <w:pPr>
        <w:pStyle w:val="ListParagraph"/>
        <w:numPr>
          <w:ilvl w:val="0"/>
          <w:numId w:val="2"/>
        </w:numPr>
        <w:spacing w:before="40" w:after="40"/>
      </w:pPr>
      <w:r>
        <w:rPr>
          <w:rFonts w:ascii="Arial" w:cs="Arial" w:eastAsia="Arial" w:hAnsi="Arial"/>
          <w:sz w:val="22"/>
          <w:szCs w:val="22"/>
        </w:rPr>
        <w:t xml:space="preserve">Board must review internal controls adequacy and information security compliance</w:t>
      </w:r>
    </w:p>
    <w:p>
      <w:pPr>
        <w:pStyle w:val="ListParagraph"/>
        <w:numPr>
          <w:ilvl w:val="0"/>
          <w:numId w:val="2"/>
        </w:numPr>
        <w:spacing w:before="40" w:after="40"/>
      </w:pPr>
      <w:r>
        <w:rPr>
          <w:rFonts w:ascii="Arial" w:cs="Arial" w:eastAsia="Arial" w:hAnsi="Arial"/>
          <w:sz w:val="22"/>
          <w:szCs w:val="22"/>
        </w:rPr>
        <w:t xml:space="preserve">Annual charter review by Board</w:t>
      </w:r>
    </w:p>
    <w:p>
      <w:pPr>
        <w:pStyle w:val="ListParagraph"/>
        <w:numPr>
          <w:ilvl w:val="0"/>
          <w:numId w:val="2"/>
        </w:numPr>
        <w:spacing w:before="40" w:after="40"/>
      </w:pPr>
      <w:r>
        <w:rPr>
          <w:rFonts w:ascii="Arial" w:cs="Arial" w:eastAsia="Arial" w:hAnsi="Arial"/>
          <w:sz w:val="22"/>
          <w:szCs w:val="22"/>
        </w:rPr>
        <w:t xml:space="preserve">Board membership structure incomplete (Chairman, Vice Chairman, Members not named)</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Chief Executive Officer (CEO)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Raghav (CEO)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Board of Directors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Board structure undefined - recommendation needed for 9-person company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Executive management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CTO, Head of Operations, Account Executive, Product Manager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Internal auditor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assigned - recommend external audit firm or Head of Operations</w:t>
            </w:r>
          </w:p>
        </w:tc>
      </w:tr>
    </w:tbl>
    <w:p>
      <w:r>
        <w:br w:type="page"/>
      </w:r>
    </w:p>
    <w:p>
      <w:pPr>
        <w:pStyle w:val="Heading1"/>
        <w:spacing w:before="0" w:after="200"/>
      </w:pPr>
      <w:r>
        <w:rPr>
          <w:rFonts w:ascii="Arial" w:cs="Arial" w:eastAsia="Arial" w:hAnsi="Arial"/>
          <w:b/>
          <w:bCs/>
          <w:sz w:val="32"/>
          <w:szCs w:val="32"/>
        </w:rPr>
        <w:t xml:space="preserve">Board of Directors Charter</w:t>
      </w:r>
    </w:p>
    <w:p>
      <w:pPr>
        <w:pStyle w:val="Heading2"/>
        <w:spacing w:before="200" w:after="100"/>
      </w:pPr>
      <w:r>
        <w:rPr>
          <w:rFonts w:ascii="Arial" w:cs="Arial" w:eastAsia="Arial" w:hAnsi="Arial"/>
          <w:b/>
          <w:bCs/>
          <w:sz w:val="24"/>
          <w:szCs w:val="24"/>
        </w:rPr>
        <w:t xml:space="preserve">Purpose of Board Charter</w:t>
      </w:r>
    </w:p>
    <w:p>
      <w:pPr>
        <w:spacing w:before="60" w:after="60"/>
      </w:pPr>
    </w:p>
    <w:p>
      <w:pPr>
        <w:spacing w:before="60" w:after="60"/>
      </w:pPr>
      <w:r>
        <w:rPr>
          <w:rFonts w:ascii="Arial" w:cs="Arial" w:eastAsia="Arial" w:hAnsi="Arial"/>
          <w:sz w:val="22"/>
          <w:szCs w:val="22"/>
        </w:rPr>
        <w:t xml:space="preserve">The purpose of the Board of Directors Charter (the “Board”) is to define the role, composition, and responsibilities of PolicyLift.</w:t>
      </w:r>
    </w:p>
    <w:p>
      <w:pPr>
        <w:spacing w:before="60" w:after="60"/>
      </w:pPr>
    </w:p>
    <w:p>
      <w:pPr>
        <w:spacing w:before="60" w:after="60"/>
      </w:pPr>
      <w:r>
        <w:rPr>
          <w:rFonts w:ascii="Arial" w:cs="Arial" w:eastAsia="Arial" w:hAnsi="Arial"/>
          <w:sz w:val="22"/>
          <w:szCs w:val="22"/>
        </w:rPr>
        <w:t xml:space="preserve">It provides a concise overview of the roles, composition, and responsibilities of the board of directors which dictates the stewardships and oversight of the affairs, business, and effective management of PolicyLift.</w:t>
      </w:r>
    </w:p>
    <w:p>
      <w:pPr>
        <w:spacing w:before="60" w:after="60"/>
      </w:pPr>
    </w:p>
    <w:p>
      <w:pPr>
        <w:pStyle w:val="Heading2"/>
        <w:spacing w:before="200" w:after="100"/>
      </w:pPr>
      <w:r>
        <w:rPr>
          <w:rFonts w:ascii="Arial" w:cs="Arial" w:eastAsia="Arial" w:hAnsi="Arial"/>
          <w:b/>
          <w:bCs/>
          <w:sz w:val="24"/>
          <w:szCs w:val="24"/>
        </w:rPr>
        <w:t xml:space="preserve">Purpose of the Board</w:t>
      </w:r>
    </w:p>
    <w:p>
      <w:pPr>
        <w:spacing w:before="60" w:after="60"/>
      </w:pPr>
    </w:p>
    <w:p>
      <w:pPr>
        <w:spacing w:before="60" w:after="60"/>
      </w:pPr>
      <w:r>
        <w:rPr>
          <w:rFonts w:ascii="Arial" w:cs="Arial" w:eastAsia="Arial" w:hAnsi="Arial"/>
          <w:sz w:val="22"/>
          <w:szCs w:val="22"/>
        </w:rPr>
        <w:t xml:space="preserve">The Board’s overarching goals are compliance and performance:</w:t>
      </w:r>
    </w:p>
    <w:p>
      <w:pPr>
        <w:spacing w:before="60" w:after="60"/>
      </w:pPr>
    </w:p>
    <w:p>
      <w:pPr>
        <w:pStyle w:val="ListParagraph"/>
        <w:numPr>
          <w:ilvl w:val="0"/>
          <w:numId w:val="3"/>
        </w:numPr>
        <w:spacing w:before="40" w:after="40"/>
      </w:pPr>
      <w:r>
        <w:rPr>
          <w:rFonts w:ascii="Arial" w:cs="Arial" w:eastAsia="Arial" w:hAnsi="Arial"/>
          <w:sz w:val="22"/>
          <w:szCs w:val="22"/>
        </w:rPr>
        <w:t xml:space="preserve">COMPLIANCE: meeting or exceeding all legal requirements</w:t>
      </w:r>
    </w:p>
    <w:p>
      <w:pPr>
        <w:spacing w:before="60" w:after="60"/>
      </w:pPr>
    </w:p>
    <w:p>
      <w:pPr>
        <w:pStyle w:val="ListParagraph"/>
        <w:numPr>
          <w:ilvl w:val="1"/>
          <w:numId w:val="3"/>
        </w:numPr>
        <w:spacing w:before="40" w:after="40"/>
      </w:pPr>
      <w:r>
        <w:rPr>
          <w:rFonts w:ascii="Arial" w:cs="Arial" w:eastAsia="Arial" w:hAnsi="Arial"/>
          <w:sz w:val="22"/>
          <w:szCs w:val="22"/>
        </w:rPr>
        <w:t xml:space="preserve">Legal: abide by all applicable laws and regulations.</w:t>
      </w:r>
    </w:p>
    <w:p>
      <w:pPr>
        <w:pStyle w:val="ListParagraph"/>
        <w:numPr>
          <w:ilvl w:val="1"/>
          <w:numId w:val="3"/>
        </w:numPr>
        <w:spacing w:before="40" w:after="40"/>
      </w:pPr>
      <w:r>
        <w:rPr>
          <w:rFonts w:ascii="Arial" w:cs="Arial" w:eastAsia="Arial" w:hAnsi="Arial"/>
          <w:sz w:val="22"/>
          <w:szCs w:val="22"/>
        </w:rPr>
        <w:t xml:space="preserve">Accountability: audits of compliance</w:t>
      </w:r>
    </w:p>
    <w:p>
      <w:pPr>
        <w:pStyle w:val="ListParagraph"/>
        <w:numPr>
          <w:ilvl w:val="0"/>
          <w:numId w:val="3"/>
        </w:numPr>
        <w:spacing w:before="40" w:after="40"/>
      </w:pPr>
      <w:r>
        <w:rPr>
          <w:rFonts w:ascii="Arial" w:cs="Arial" w:eastAsia="Arial" w:hAnsi="Arial"/>
          <w:sz w:val="22"/>
          <w:szCs w:val="22"/>
        </w:rPr>
        <w:t xml:space="preserve">PERFORMANCE: enable the organization to reach its full potential.</w:t>
      </w:r>
    </w:p>
    <w:p>
      <w:pPr>
        <w:spacing w:before="60" w:after="60"/>
      </w:pPr>
    </w:p>
    <w:p>
      <w:pPr>
        <w:pStyle w:val="ListParagraph"/>
        <w:numPr>
          <w:ilvl w:val="1"/>
          <w:numId w:val="3"/>
        </w:numPr>
        <w:spacing w:before="40" w:after="40"/>
      </w:pPr>
      <w:r>
        <w:rPr>
          <w:rFonts w:ascii="Arial" w:cs="Arial" w:eastAsia="Arial" w:hAnsi="Arial"/>
          <w:sz w:val="22"/>
          <w:szCs w:val="22"/>
        </w:rPr>
        <w:t xml:space="preserve">Policy and strategy: approve the strategic plan and policies and monitor them regularly.</w:t>
      </w:r>
    </w:p>
    <w:p>
      <w:pPr>
        <w:pStyle w:val="ListParagraph"/>
        <w:numPr>
          <w:ilvl w:val="1"/>
          <w:numId w:val="3"/>
        </w:numPr>
        <w:spacing w:before="40" w:after="40"/>
      </w:pPr>
      <w:r>
        <w:rPr>
          <w:rFonts w:ascii="Arial" w:cs="Arial" w:eastAsia="Arial" w:hAnsi="Arial"/>
          <w:sz w:val="22"/>
          <w:szCs w:val="22"/>
        </w:rPr>
        <w:t xml:space="preserve">Accountability: reporting of results to stakeholders and maintaining the organization’s overall performance.</w:t>
      </w:r>
    </w:p>
    <w:p>
      <w:pPr>
        <w:pStyle w:val="ListParagraph"/>
        <w:numPr>
          <w:ilvl w:val="1"/>
          <w:numId w:val="3"/>
        </w:numPr>
        <w:spacing w:before="40" w:after="40"/>
      </w:pPr>
      <w:r>
        <w:rPr>
          <w:rFonts w:ascii="Arial" w:cs="Arial" w:eastAsia="Arial" w:hAnsi="Arial"/>
          <w:sz w:val="22"/>
          <w:szCs w:val="22"/>
        </w:rPr>
        <w:t xml:space="preserve">Public relations: protect stakeholders’ interests while also projecting a strong and positive image.</w:t>
      </w:r>
    </w:p>
    <w:p>
      <w:pPr>
        <w:pStyle w:val="ListParagraph"/>
        <w:numPr>
          <w:ilvl w:val="1"/>
          <w:numId w:val="3"/>
        </w:numPr>
        <w:spacing w:before="40" w:after="40"/>
      </w:pPr>
      <w:r>
        <w:rPr>
          <w:rFonts w:ascii="Arial" w:cs="Arial" w:eastAsia="Arial" w:hAnsi="Arial"/>
          <w:sz w:val="22"/>
          <w:szCs w:val="22"/>
        </w:rPr>
        <w:t xml:space="preserve">Risk management: maintaining an up-to-date and effective risk profile and management strategy.</w:t>
      </w:r>
    </w:p>
    <w:p>
      <w:pPr>
        <w:spacing w:before="60" w:after="60"/>
      </w:pPr>
    </w:p>
    <w:p>
      <w:pPr>
        <w:spacing w:before="60" w:after="60"/>
      </w:pPr>
      <w:r>
        <w:rPr>
          <w:rFonts w:ascii="Arial" w:cs="Arial" w:eastAsia="Arial" w:hAnsi="Arial"/>
          <w:sz w:val="22"/>
          <w:szCs w:val="22"/>
        </w:rPr>
        <w:t xml:space="preserve">The Board, while carrying out its responsibilities, is conscious of the organization’s mission and the objects of the organization.</w:t>
      </w:r>
    </w:p>
    <w:p>
      <w:pPr>
        <w:spacing w:before="60" w:after="60"/>
      </w:pPr>
    </w:p>
    <w:p>
      <w:pPr>
        <w:pStyle w:val="Heading2"/>
        <w:spacing w:before="200" w:after="100"/>
      </w:pPr>
      <w:r>
        <w:rPr>
          <w:rFonts w:ascii="Arial" w:cs="Arial" w:eastAsia="Arial" w:hAnsi="Arial"/>
          <w:b/>
          <w:bCs/>
          <w:sz w:val="24"/>
          <w:szCs w:val="24"/>
        </w:rPr>
        <w:t xml:space="preserve">Roles and Responsibilities</w:t>
      </w:r>
    </w:p>
    <w:p>
      <w:pPr>
        <w:spacing w:before="60" w:after="60"/>
      </w:pPr>
    </w:p>
    <w:p>
      <w:pPr>
        <w:spacing w:before="60" w:after="60"/>
      </w:pPr>
      <w:commentRangeStart w:id="0"/>
      <w:r>
        <w:rPr>
          <w:rFonts w:ascii="Arial" w:cs="Arial" w:eastAsia="Arial" w:hAnsi="Arial"/>
          <w:sz w:val="22"/>
          <w:szCs w:val="22"/>
        </w:rPr>
        <w:t xml:space="preserve">The Chief Executive Officer (CEO) has been delegated authority by the Board of Directors over the organization’s operations and administration.</w:t>
      </w:r>
      <w:commentRangeEnd w:id="0"/>
      <w:r>
        <w:rPr>
          <w:rStyle w:val="CommentReference"/>
        </w:rPr>
        <w:commentReference w:id="0"/>
      </w:r>
    </w:p>
    <w:p>
      <w:pPr>
        <w:spacing w:before="60" w:after="60"/>
      </w:pPr>
    </w:p>
    <w:p>
      <w:pPr>
        <w:pStyle w:val="ListParagraph"/>
        <w:numPr>
          <w:ilvl w:val="0"/>
          <w:numId w:val="3"/>
        </w:numPr>
        <w:spacing w:before="40" w:after="40"/>
      </w:pPr>
      <w:r>
        <w:rPr>
          <w:rFonts w:ascii="Arial" w:cs="Arial" w:eastAsia="Arial" w:hAnsi="Arial"/>
          <w:sz w:val="22"/>
          <w:szCs w:val="22"/>
        </w:rPr>
        <w:t xml:space="preserve">The CEO's responsibilities are as follows:</w:t>
      </w:r>
    </w:p>
    <w:p>
      <w:pPr>
        <w:spacing w:before="60" w:after="60"/>
      </w:pPr>
    </w:p>
    <w:p>
      <w:pPr>
        <w:pStyle w:val="ListParagraph"/>
        <w:numPr>
          <w:ilvl w:val="1"/>
          <w:numId w:val="3"/>
        </w:numPr>
        <w:spacing w:before="40" w:after="40"/>
      </w:pPr>
      <w:commentRangeStart w:id="1"/>
      <w:r>
        <w:rPr>
          <w:rFonts w:ascii="Arial" w:cs="Arial" w:eastAsia="Arial" w:hAnsi="Arial"/>
          <w:sz w:val="22"/>
          <w:szCs w:val="22"/>
        </w:rPr>
        <w:t xml:space="preserve">Provide effective leadership and work with the executive management team to:</w:t>
      </w:r>
      <w:commentRangeEnd w:id="1"/>
      <w:r>
        <w:rPr>
          <w:rStyle w:val="CommentReference"/>
        </w:rPr>
        <w:commentReference w:id="1"/>
      </w:r>
    </w:p>
    <w:p>
      <w:pPr>
        <w:spacing w:before="60" w:after="60"/>
      </w:pPr>
    </w:p>
    <w:p>
      <w:pPr>
        <w:pStyle w:val="ListParagraph"/>
        <w:numPr>
          <w:ilvl w:val="1"/>
          <w:numId w:val="3"/>
        </w:numPr>
        <w:spacing w:before="40" w:after="40"/>
      </w:pPr>
      <w:r>
        <w:rPr>
          <w:rFonts w:ascii="Arial" w:cs="Arial" w:eastAsia="Arial" w:hAnsi="Arial"/>
          <w:sz w:val="22"/>
          <w:szCs w:val="22"/>
        </w:rPr>
        <w:t xml:space="preserve">Create strategic direction plans and allocating strategic priorities</w:t>
      </w:r>
    </w:p>
    <w:p>
      <w:pPr>
        <w:pStyle w:val="ListParagraph"/>
        <w:numPr>
          <w:ilvl w:val="1"/>
          <w:numId w:val="3"/>
        </w:numPr>
        <w:spacing w:before="40" w:after="40"/>
      </w:pPr>
      <w:r>
        <w:rPr>
          <w:rFonts w:ascii="Arial" w:cs="Arial" w:eastAsia="Arial" w:hAnsi="Arial"/>
          <w:sz w:val="22"/>
          <w:szCs w:val="22"/>
        </w:rPr>
        <w:t xml:space="preserve">Maintain open lines of communication and promoting the organization’s values, vision, mission, and strategies to internal and external stakeholders</w:t>
      </w:r>
    </w:p>
    <w:p>
      <w:pPr>
        <w:pStyle w:val="ListParagraph"/>
        <w:numPr>
          <w:ilvl w:val="1"/>
          <w:numId w:val="3"/>
        </w:numPr>
        <w:spacing w:before="40" w:after="40"/>
      </w:pPr>
      <w:r>
        <w:rPr>
          <w:rFonts w:ascii="Arial" w:cs="Arial" w:eastAsia="Arial" w:hAnsi="Arial"/>
          <w:sz w:val="22"/>
          <w:szCs w:val="22"/>
        </w:rPr>
        <w:t xml:space="preserve">Create and sustain an organizational structure to support the achievement of approved strategic objectives</w:t>
      </w:r>
    </w:p>
    <w:p>
      <w:pPr>
        <w:pStyle w:val="ListParagraph"/>
        <w:numPr>
          <w:ilvl w:val="1"/>
          <w:numId w:val="3"/>
        </w:numPr>
        <w:spacing w:before="40" w:after="40"/>
      </w:pPr>
      <w:r>
        <w:rPr>
          <w:rFonts w:ascii="Arial" w:cs="Arial" w:eastAsia="Arial" w:hAnsi="Arial"/>
          <w:sz w:val="22"/>
          <w:szCs w:val="22"/>
        </w:rPr>
        <w:t xml:space="preserve">Review and approve the team’s business actions and annual budget.</w:t>
      </w:r>
    </w:p>
    <w:p>
      <w:pPr>
        <w:pStyle w:val="ListParagraph"/>
        <w:numPr>
          <w:ilvl w:val="1"/>
          <w:numId w:val="3"/>
        </w:numPr>
        <w:spacing w:before="40" w:after="40"/>
      </w:pPr>
      <w:commentRangeStart w:id="2"/>
      <w:r>
        <w:rPr>
          <w:rFonts w:ascii="Arial" w:cs="Arial" w:eastAsia="Arial" w:hAnsi="Arial"/>
          <w:sz w:val="22"/>
          <w:szCs w:val="22"/>
        </w:rPr>
        <w:t xml:space="preserve">Ensure that all critical systems and procedures are in place to allow the organization to operate effectively, efficiently, and in accordance with all legal and contractual obligations.</w:t>
      </w:r>
      <w:commentRangeEnd w:id="2"/>
      <w:r>
        <w:rPr>
          <w:rStyle w:val="CommentReference"/>
        </w:rPr>
        <w:commentReference w:id="2"/>
      </w:r>
    </w:p>
    <w:p>
      <w:pPr>
        <w:pStyle w:val="ListParagraph"/>
        <w:numPr>
          <w:ilvl w:val="1"/>
          <w:numId w:val="3"/>
        </w:numPr>
        <w:spacing w:before="40" w:after="40"/>
      </w:pPr>
      <w:commentRangeStart w:id="3"/>
      <w:r>
        <w:rPr>
          <w:rFonts w:ascii="Arial" w:cs="Arial" w:eastAsia="Arial" w:hAnsi="Arial"/>
          <w:sz w:val="22"/>
          <w:szCs w:val="22"/>
        </w:rPr>
        <w:t xml:space="preserve">Assist the Board with oversight of the principal risk exposures facing PolicyLift related to data management, security and compliance, and PolicyLift’s mitigation efforts regarding such risks.</w:t>
      </w:r>
      <w:commentRangeEnd w:id="3"/>
      <w:r>
        <w:rPr>
          <w:rStyle w:val="CommentReference"/>
        </w:rPr>
        <w:commentReference w:id="3"/>
      </w:r>
    </w:p>
    <w:p>
      <w:pPr>
        <w:pStyle w:val="ListParagraph"/>
        <w:numPr>
          <w:ilvl w:val="1"/>
          <w:numId w:val="3"/>
        </w:numPr>
        <w:spacing w:before="40" w:after="40"/>
      </w:pPr>
      <w:commentRangeStart w:id="4"/>
      <w:r>
        <w:rPr>
          <w:rFonts w:ascii="Arial" w:cs="Arial" w:eastAsia="Arial" w:hAnsi="Arial"/>
          <w:sz w:val="22"/>
          <w:szCs w:val="22"/>
        </w:rPr>
        <w:t xml:space="preserve">Review and discuss with management and any independent auditor engaged by PolicyLift’s internal controls and information security compliance programs’ adequacy and effectiveness.</w:t>
      </w:r>
      <w:commentRangeEnd w:id="4"/>
      <w:r>
        <w:rPr>
          <w:rStyle w:val="CommentReference"/>
        </w:rPr>
        <w:commentReference w:id="4"/>
      </w:r>
    </w:p>
    <w:p>
      <w:pPr>
        <w:pStyle w:val="ListParagraph"/>
        <w:numPr>
          <w:ilvl w:val="1"/>
          <w:numId w:val="3"/>
        </w:numPr>
        <w:spacing w:before="40" w:after="40"/>
      </w:pPr>
      <w:commentRangeStart w:id="5"/>
      <w:r>
        <w:rPr>
          <w:rFonts w:ascii="Arial" w:cs="Arial" w:eastAsia="Arial" w:hAnsi="Arial"/>
          <w:sz w:val="22"/>
          <w:szCs w:val="22"/>
        </w:rPr>
        <w:t xml:space="preserve">Schedule separate executive sessions with management, internal auditor, and any independent auditor engaged by PolicyLift. Regularly discuss matters that could significantly impact PolicyLift’s data security and compliance, if any and address them privately.</w:t>
      </w:r>
      <w:commentRangeEnd w:id="5"/>
      <w:r>
        <w:rPr>
          <w:rStyle w:val="CommentReference"/>
        </w:rPr>
        <w:commentReference w:id="5"/>
      </w:r>
    </w:p>
    <w:p>
      <w:pPr>
        <w:pStyle w:val="ListParagraph"/>
        <w:numPr>
          <w:ilvl w:val="1"/>
          <w:numId w:val="3"/>
        </w:numPr>
        <w:spacing w:before="40" w:after="40"/>
      </w:pPr>
      <w:commentRangeStart w:id="6"/>
      <w:r>
        <w:rPr>
          <w:rFonts w:ascii="Arial" w:cs="Arial" w:eastAsia="Arial" w:hAnsi="Arial"/>
          <w:sz w:val="22"/>
          <w:szCs w:val="22"/>
        </w:rPr>
        <w:t xml:space="preserve">Review the scope and outcomes of any internal audits.</w:t>
      </w:r>
      <w:commentRangeEnd w:id="6"/>
      <w:r>
        <w:rPr>
          <w:rStyle w:val="CommentReference"/>
        </w:rPr>
        <w:commentReference w:id="6"/>
      </w:r>
    </w:p>
    <w:p>
      <w:pPr>
        <w:pStyle w:val="ListParagraph"/>
        <w:numPr>
          <w:ilvl w:val="1"/>
          <w:numId w:val="3"/>
        </w:numPr>
        <w:spacing w:before="40" w:after="40"/>
      </w:pPr>
      <w:r>
        <w:rPr>
          <w:rFonts w:ascii="Arial" w:cs="Arial" w:eastAsia="Arial" w:hAnsi="Arial"/>
          <w:sz w:val="22"/>
          <w:szCs w:val="22"/>
        </w:rPr>
        <w:t xml:space="preserve">Evaluate the internal auditor’s performance, if any, and recommend the internal auditor’s replacement.</w:t>
      </w:r>
    </w:p>
    <w:p>
      <w:pPr>
        <w:pStyle w:val="ListParagraph"/>
        <w:numPr>
          <w:ilvl w:val="1"/>
          <w:numId w:val="3"/>
        </w:numPr>
        <w:spacing w:before="40" w:after="40"/>
      </w:pPr>
      <w:r>
        <w:rPr>
          <w:rFonts w:ascii="Arial" w:cs="Arial" w:eastAsia="Arial" w:hAnsi="Arial"/>
          <w:sz w:val="22"/>
          <w:szCs w:val="22"/>
        </w:rPr>
        <w:t xml:space="preserve">Review PolicyLift’s data and information management systems, processes, and policies, as well as oversee PolicyLift’s security and compliance frameworks</w:t>
      </w:r>
    </w:p>
    <w:p>
      <w:pPr>
        <w:pStyle w:val="ListParagraph"/>
        <w:numPr>
          <w:ilvl w:val="1"/>
          <w:numId w:val="3"/>
        </w:numPr>
        <w:spacing w:before="40" w:after="40"/>
      </w:pPr>
      <w:commentRangeStart w:id="8"/>
      <w:r>
        <w:rPr>
          <w:rFonts w:ascii="Arial" w:cs="Arial" w:eastAsia="Arial" w:hAnsi="Arial"/>
          <w:sz w:val="22"/>
          <w:szCs w:val="22"/>
        </w:rPr>
        <w:t xml:space="preserve">Ensure that the team considers and accounts for all significant risks.</w:t>
      </w:r>
      <w:commentRangeEnd w:id="8"/>
      <w:r>
        <w:rPr>
          <w:rStyle w:val="CommentReference"/>
        </w:rPr>
        <w:commentReference w:id="8"/>
      </w:r>
    </w:p>
    <w:p>
      <w:pPr>
        <w:pStyle w:val="ListParagraph"/>
        <w:numPr>
          <w:ilvl w:val="1"/>
          <w:numId w:val="3"/>
        </w:numPr>
        <w:spacing w:before="40" w:after="40"/>
      </w:pPr>
      <w:commentRangeStart w:id="9"/>
      <w:r>
        <w:rPr>
          <w:rFonts w:ascii="Arial" w:cs="Arial" w:eastAsia="Arial" w:hAnsi="Arial"/>
          <w:sz w:val="22"/>
          <w:szCs w:val="22"/>
        </w:rPr>
        <w:t xml:space="preserve">Ascertain that the organization has appropriate corporate governance structures in place, including ethical standards and promoting a corporate and social responsibility culture.</w:t>
      </w:r>
      <w:commentRangeEnd w:id="9"/>
      <w:r>
        <w:rPr>
          <w:rStyle w:val="CommentReference"/>
        </w:rPr>
        <w:commentReference w:id="9"/>
      </w:r>
    </w:p>
    <w:p>
      <w:pPr>
        <w:pStyle w:val="ListParagraph"/>
        <w:numPr>
          <w:ilvl w:val="1"/>
          <w:numId w:val="3"/>
        </w:numPr>
        <w:spacing w:before="40" w:after="40"/>
      </w:pPr>
      <w:commentRangeStart w:id="10"/>
      <w:r>
        <w:rPr>
          <w:rFonts w:ascii="Arial" w:cs="Arial" w:eastAsia="Arial" w:hAnsi="Arial"/>
          <w:sz w:val="22"/>
          <w:szCs w:val="22"/>
        </w:rPr>
        <w:t xml:space="preserve">Review the scope and plan for security and compliance audits and related services.</w:t>
      </w:r>
      <w:commentRangeEnd w:id="10"/>
      <w:r>
        <w:rPr>
          <w:rStyle w:val="CommentReference"/>
        </w:rPr>
        <w:commentReference w:id="10"/>
      </w:r>
    </w:p>
    <w:p>
      <w:pPr>
        <w:spacing w:before="60" w:after="60"/>
      </w:pPr>
    </w:p>
    <w:p>
      <w:pPr>
        <w:pStyle w:val="Heading2"/>
        <w:spacing w:before="200" w:after="100"/>
      </w:pPr>
      <w:r>
        <w:rPr>
          <w:rFonts w:ascii="Arial" w:cs="Arial" w:eastAsia="Arial" w:hAnsi="Arial"/>
          <w:b/>
          <w:bCs/>
          <w:sz w:val="24"/>
          <w:szCs w:val="24"/>
        </w:rPr>
        <w:t xml:space="preserve">Membership and Team</w:t>
      </w:r>
    </w:p>
    <w:p>
      <w:pPr>
        <w:spacing w:before="60" w:after="60"/>
      </w:pPr>
    </w:p>
    <w:p>
      <w:pPr>
        <w:spacing w:before="60" w:after="60"/>
      </w:pPr>
      <w:r>
        <w:rPr>
          <w:rFonts w:ascii="Arial" w:cs="Arial" w:eastAsia="Arial" w:hAnsi="Arial"/>
          <w:sz w:val="22"/>
          <w:szCs w:val="22"/>
        </w:rPr>
        <w:t xml:space="preserve">Board Membership</w:t>
      </w:r>
    </w:p>
    <w:p>
      <w:pPr>
        <w:spacing w:before="60" w:after="60"/>
      </w:pP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The Board’s membership includes the following members:</w:t>
      </w:r>
    </w:p>
    <w:p>
      <w:pPr>
        <w:spacing w:before="60" w:after="60"/>
      </w:pPr>
    </w:p>
    <w:p>
      <w:pPr>
        <w:spacing w:before="60" w:after="60"/>
      </w:pPr>
      <w:r>
        <w:rPr>
          <w:rFonts w:ascii="Arial" w:cs="Arial" w:eastAsia="Arial" w:hAnsi="Arial"/>
          <w:sz w:val="22"/>
          <w:szCs w:val="22"/>
        </w:rPr>
        <w:t xml:space="preserve">Chairman:</w:t>
      </w:r>
    </w:p>
    <w:p>
      <w:pPr>
        <w:spacing w:before="60" w:after="60"/>
      </w:pPr>
    </w:p>
    <w:p>
      <w:pPr>
        <w:spacing w:before="60" w:after="60"/>
      </w:pPr>
      <w:r>
        <w:rPr>
          <w:rFonts w:ascii="Arial" w:cs="Arial" w:eastAsia="Arial" w:hAnsi="Arial"/>
          <w:sz w:val="22"/>
          <w:szCs w:val="22"/>
        </w:rPr>
        <w:t xml:space="preserve">Vice chairman:</w:t>
      </w:r>
    </w:p>
    <w:p>
      <w:pPr>
        <w:spacing w:before="60" w:after="60"/>
      </w:pPr>
    </w:p>
    <w:p>
      <w:pPr>
        <w:spacing w:before="60" w:after="60"/>
      </w:pPr>
      <w:r>
        <w:rPr>
          <w:rFonts w:ascii="Arial" w:cs="Arial" w:eastAsia="Arial" w:hAnsi="Arial"/>
          <w:sz w:val="22"/>
          <w:szCs w:val="22"/>
        </w:rPr>
        <w:t xml:space="preserve">Members:</w:t>
      </w:r>
    </w:p>
    <w:p>
      <w:pPr>
        <w:spacing w:before="60" w:after="60"/>
      </w:pPr>
    </w:p>
    <w:p>
      <w:pPr>
        <w:pStyle w:val="Heading2"/>
        <w:spacing w:before="200" w:after="100"/>
      </w:pPr>
      <w:r>
        <w:rPr>
          <w:rFonts w:ascii="Arial" w:cs="Arial" w:eastAsia="Arial" w:hAnsi="Arial"/>
          <w:b/>
          <w:bCs/>
          <w:sz w:val="24"/>
          <w:szCs w:val="24"/>
        </w:rPr>
        <w:t xml:space="preserve">Board Culture</w:t>
      </w:r>
    </w:p>
    <w:p>
      <w:pPr>
        <w:spacing w:before="60" w:after="60"/>
      </w:pPr>
    </w:p>
    <w:p>
      <w:pPr>
        <w:spacing w:before="60" w:after="60"/>
      </w:pPr>
      <w:r>
        <w:rPr>
          <w:rFonts w:ascii="Arial" w:cs="Arial" w:eastAsia="Arial" w:hAnsi="Arial"/>
          <w:sz w:val="22"/>
          <w:szCs w:val="22"/>
        </w:rPr>
        <w:t xml:space="preserve">The Board actively seeks to foster a “engaged culture” defined by openness and a willingness to challenge values. The Board has several stakeholders for whom it is responsible. The Board of Directors is in charge of maintaining the organization’s standing in the industry. Members of the Board have mutual respect for one another. The Board of Directors serves the community by actively participating in governance.</w:t>
      </w:r>
    </w:p>
    <w:p>
      <w:pPr>
        <w:spacing w:before="60" w:after="60"/>
      </w:pPr>
    </w:p>
    <w:p>
      <w:pPr>
        <w:pStyle w:val="Heading2"/>
        <w:spacing w:before="200" w:after="100"/>
      </w:pPr>
      <w:r>
        <w:rPr>
          <w:rFonts w:ascii="Arial" w:cs="Arial" w:eastAsia="Arial" w:hAnsi="Arial"/>
          <w:b/>
          <w:bCs/>
          <w:sz w:val="24"/>
          <w:szCs w:val="24"/>
        </w:rPr>
        <w:t xml:space="preserve">Meetings and Reporting</w:t>
      </w:r>
    </w:p>
    <w:p>
      <w:pPr>
        <w:spacing w:before="60" w:after="60"/>
      </w:pPr>
    </w:p>
    <w:p>
      <w:pPr>
        <w:spacing w:before="60" w:after="60"/>
      </w:pPr>
      <w:r>
        <w:rPr>
          <w:rFonts w:ascii="Arial" w:cs="Arial" w:eastAsia="Arial" w:hAnsi="Arial"/>
          <w:sz w:val="22"/>
          <w:szCs w:val="22"/>
        </w:rPr>
        <w:t xml:space="preserve">The minutes and records of all meetings are maintained.</w:t>
      </w:r>
    </w:p>
    <w:p>
      <w:pPr>
        <w:spacing w:before="60" w:after="60"/>
      </w:pPr>
    </w:p>
    <w:p>
      <w:pPr>
        <w:spacing w:before="60" w:after="60"/>
      </w:pPr>
      <w:r>
        <w:rPr>
          <w:rFonts w:ascii="Arial" w:cs="Arial" w:eastAsia="Arial" w:hAnsi="Arial"/>
          <w:sz w:val="22"/>
          <w:szCs w:val="22"/>
        </w:rPr>
        <w:t xml:space="preserve">Minutes of all Board meetings are distributed to directors and approved by the Board at the next meeting.</w:t>
      </w:r>
    </w:p>
    <w:p>
      <w:pPr>
        <w:spacing w:before="60" w:after="60"/>
      </w:pPr>
    </w:p>
    <w:p>
      <w:pPr>
        <w:spacing w:before="60" w:after="60"/>
      </w:pPr>
      <w:commentRangeStart w:id="11"/>
      <w:r>
        <w:rPr>
          <w:rFonts w:ascii="Arial" w:cs="Arial" w:eastAsia="Arial" w:hAnsi="Arial"/>
          <w:sz w:val="22"/>
          <w:szCs w:val="22"/>
        </w:rPr>
        <w:t xml:space="preserve">Management and board of directors meet on an annual basis to review the following:</w:t>
      </w:r>
      <w:commentRangeEnd w:id="11"/>
      <w:r>
        <w:rPr>
          <w:rStyle w:val="CommentReference"/>
        </w:rPr>
        <w:commentReference w:id="11"/>
      </w:r>
    </w:p>
    <w:p>
      <w:pPr>
        <w:spacing w:before="60" w:after="60"/>
      </w:pPr>
    </w:p>
    <w:p>
      <w:pPr>
        <w:pStyle w:val="ListParagraph"/>
        <w:numPr>
          <w:ilvl w:val="0"/>
          <w:numId w:val="3"/>
        </w:numPr>
        <w:spacing w:before="40" w:after="40"/>
      </w:pPr>
      <w:r>
        <w:rPr>
          <w:rFonts w:ascii="Arial" w:cs="Arial" w:eastAsia="Arial" w:hAnsi="Arial"/>
          <w:sz w:val="22"/>
          <w:szCs w:val="22"/>
        </w:rPr>
        <w:t xml:space="preserve">Review different committee charters, corporate governance issues, company strategy, business objectives, capabilities, and executions.</w:t>
      </w:r>
    </w:p>
    <w:p>
      <w:pPr>
        <w:pStyle w:val="ListParagraph"/>
        <w:numPr>
          <w:ilvl w:val="0"/>
          <w:numId w:val="3"/>
        </w:numPr>
        <w:spacing w:before="40" w:after="40"/>
      </w:pPr>
      <w:commentRangeStart w:id="13"/>
      <w:commentRangeStart w:id="12"/>
      <w:r>
        <w:rPr>
          <w:rFonts w:ascii="Arial" w:cs="Arial" w:eastAsia="Arial" w:hAnsi="Arial"/>
          <w:sz w:val="22"/>
          <w:szCs w:val="22"/>
        </w:rPr>
        <w:t xml:space="preserve">Determine whether additional employees, systems, equipment, and technologies are required to meet the company's goals. Evaluate the Risk and Governance Executive Committee report to the Board of Directors containing results of annual risk assessment and relevant information resulting from assessments conducted by internal and external parties.</w:t>
      </w:r>
      <w:commentRangeEnd w:id="12"/>
      <w:r>
        <w:rPr>
          <w:rStyle w:val="CommentReference"/>
        </w:rPr>
        <w:commentReference w:id="12"/>
      </w:r>
      <w:commentRangeEnd w:id="13"/>
      <w:r>
        <w:rPr>
          <w:rStyle w:val="CommentReference"/>
        </w:rPr>
        <w:commentReference w:id="13"/>
      </w:r>
    </w:p>
    <w:p>
      <w:pPr>
        <w:pStyle w:val="ListParagraph"/>
        <w:numPr>
          <w:ilvl w:val="0"/>
          <w:numId w:val="3"/>
        </w:numPr>
        <w:spacing w:before="40" w:after="40"/>
      </w:pPr>
      <w:commentRangeStart w:id="14"/>
      <w:r>
        <w:rPr>
          <w:rFonts w:ascii="Arial" w:cs="Arial" w:eastAsia="Arial" w:hAnsi="Arial"/>
          <w:sz w:val="22"/>
          <w:szCs w:val="22"/>
        </w:rPr>
        <w:t xml:space="preserve">Evaluate the organization's pay and performance assessment policies to retain qualified personnel and spot any possible pressures or incentives for staff to commit fraud.</w:t>
      </w:r>
      <w:commentRangeEnd w:id="14"/>
      <w:r>
        <w:rPr>
          <w:rStyle w:val="CommentReference"/>
        </w:rPr>
        <w:commentReference w:id="14"/>
      </w:r>
    </w:p>
    <w:p>
      <w:pPr>
        <w:pStyle w:val="ListParagraph"/>
        <w:numPr>
          <w:ilvl w:val="0"/>
          <w:numId w:val="3"/>
        </w:numPr>
        <w:spacing w:before="40" w:after="40"/>
      </w:pPr>
      <w:commentRangeStart w:id="15"/>
      <w:r>
        <w:rPr>
          <w:rFonts w:ascii="Arial" w:cs="Arial" w:eastAsia="Arial" w:hAnsi="Arial"/>
          <w:sz w:val="22"/>
          <w:szCs w:val="22"/>
        </w:rPr>
        <w:t xml:space="preserve">Evaluate the business contingency plans.</w:t>
      </w:r>
      <w:commentRangeEnd w:id="15"/>
      <w:r>
        <w:rPr>
          <w:rStyle w:val="CommentReference"/>
        </w:rPr>
        <w:commentReference w:id="15"/>
      </w:r>
    </w:p>
    <w:p>
      <w:pPr>
        <w:pStyle w:val="ListParagraph"/>
        <w:numPr>
          <w:ilvl w:val="0"/>
          <w:numId w:val="3"/>
        </w:numPr>
        <w:spacing w:before="40" w:after="40"/>
      </w:pPr>
      <w:commentRangeStart w:id="16"/>
      <w:r>
        <w:rPr>
          <w:rFonts w:ascii="Arial" w:cs="Arial" w:eastAsia="Arial" w:hAnsi="Arial"/>
          <w:sz w:val="22"/>
          <w:szCs w:val="22"/>
        </w:rPr>
        <w:t xml:space="preserve">Evaluate succession plans for assignment of responsibility for key roles.</w:t>
      </w:r>
      <w:commentRangeEnd w:id="16"/>
      <w:r>
        <w:rPr>
          <w:rStyle w:val="CommentReference"/>
        </w:rPr>
        <w:commentReference w:id="16"/>
      </w:r>
    </w:p>
    <w:p>
      <w:pPr>
        <w:pStyle w:val="ListParagraph"/>
        <w:numPr>
          <w:ilvl w:val="0"/>
          <w:numId w:val="3"/>
        </w:numPr>
        <w:spacing w:before="40" w:after="40"/>
      </w:pPr>
      <w:r>
        <w:rPr>
          <w:rFonts w:ascii="Arial" w:cs="Arial" w:eastAsia="Arial" w:hAnsi="Arial"/>
          <w:sz w:val="22"/>
          <w:szCs w:val="22"/>
        </w:rPr>
        <w:t xml:space="preserve">Approve the budgets for the organization.</w:t>
      </w:r>
    </w:p>
    <w:p>
      <w:pPr>
        <w:pStyle w:val="ListParagraph"/>
        <w:numPr>
          <w:ilvl w:val="0"/>
          <w:numId w:val="3"/>
        </w:numPr>
        <w:spacing w:before="40" w:after="40"/>
      </w:pPr>
      <w:r>
        <w:rPr>
          <w:rFonts w:ascii="Arial" w:cs="Arial" w:eastAsia="Arial" w:hAnsi="Arial"/>
          <w:sz w:val="22"/>
          <w:szCs w:val="22"/>
        </w:rPr>
        <w:t xml:space="preserve">Assess the need for additional subcommittees, experts, or consultants and evaluate the skill and expertise of current board members.</w:t>
      </w:r>
    </w:p>
    <w:p>
      <w:pPr>
        <w:pStyle w:val="ListParagraph"/>
        <w:numPr>
          <w:ilvl w:val="0"/>
          <w:numId w:val="3"/>
        </w:numPr>
        <w:spacing w:before="40" w:after="40"/>
      </w:pPr>
      <w:r>
        <w:rPr>
          <w:rFonts w:ascii="Arial" w:cs="Arial" w:eastAsia="Arial" w:hAnsi="Arial"/>
          <w:sz w:val="22"/>
          <w:szCs w:val="22"/>
        </w:rPr>
        <w:t xml:space="preserve">Establish goals and performance objectives for senior employees to be reviewed on an annual basis and approved by Executive Management.</w:t>
      </w:r>
    </w:p>
    <w:p>
      <w:pPr>
        <w:pStyle w:val="ListParagraph"/>
        <w:numPr>
          <w:ilvl w:val="0"/>
          <w:numId w:val="3"/>
        </w:numPr>
        <w:spacing w:before="40" w:after="40"/>
      </w:pPr>
      <w:r>
        <w:rPr>
          <w:rFonts w:ascii="Arial" w:cs="Arial" w:eastAsia="Arial" w:hAnsi="Arial"/>
          <w:sz w:val="22"/>
          <w:szCs w:val="22"/>
        </w:rPr>
        <w:t xml:space="preserve">Oversee internal controls, operations, and business objectives.</w:t>
      </w:r>
    </w:p>
    <w:p>
      <w:pPr>
        <w:spacing w:before="60" w:after="60"/>
      </w:pPr>
    </w:p>
    <w:p>
      <w:pPr>
        <w:pStyle w:val="Heading2"/>
        <w:spacing w:before="200" w:after="100"/>
      </w:pPr>
      <w:r>
        <w:rPr>
          <w:rFonts w:ascii="Arial" w:cs="Arial" w:eastAsia="Arial" w:hAnsi="Arial"/>
          <w:b/>
          <w:bCs/>
          <w:sz w:val="24"/>
          <w:szCs w:val="24"/>
        </w:rPr>
        <w:t xml:space="preserve">Review of Charter</w:t>
      </w:r>
    </w:p>
    <w:p>
      <w:pPr>
        <w:spacing w:before="60" w:after="60"/>
      </w:pPr>
    </w:p>
    <w:p>
      <w:pPr>
        <w:spacing w:before="60" w:after="60"/>
      </w:pPr>
      <w:commentRangeStart w:id="17"/>
      <w:r>
        <w:rPr>
          <w:rFonts w:ascii="Arial" w:cs="Arial" w:eastAsia="Arial" w:hAnsi="Arial"/>
          <w:sz w:val="22"/>
          <w:szCs w:val="22"/>
        </w:rPr>
        <w:t xml:space="preserve">This charter will be reviewed annually by the Board to ensure that it aligns with the Board’s goals and obligations.</w:t>
      </w:r>
      <w:commentRangeEnd w:id="17"/>
      <w:r>
        <w:rPr>
          <w:rStyle w:val="CommentReference"/>
        </w:rPr>
        <w:commentReference w:id="17"/>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17Z" w:initials="PR">
    <w:p w14:paraId="478F964A" w14:textId="77777777">
      <w:r>
        <w:rPr>
          <w:rStyle w:val="CommentReference"/>
        </w:rPr>
        <w:annotationRef/>
      </w:r>
      <w:r>
        <w:rPr>
          <w:color w:val="000000"/>
          <w:sz w:val="20"/>
          <w:szCs w:val="20"/>
        </w:rPr>
        <w:t>ROLE — CEO Board-Delegated Authority
What this says: The CEO (Raghav) has been delegated authority by the Board over PolicyLift’s operations and administration.
Why it matters: This establishes CEO accountability to the Board for operational decisions, security governance, and regulatory compliance. For a 9-person company, CEO wears many hats.
Recommendation: Document that Raghav, as CEO, is accountable to the Board for: (1) Security and compliance posture, (2) Risk management, (3) Financial controls, (4) Legal/regulatory compliance. This should be reflected in Board meeting agendas and minutes. For SOC 2 Type I, auditors will verify CEO visibility into security/compliance.</w:t>
      </w:r>
    </w:p>
  </w:comment>
  <w:comment w:id="1" w:author="PolicyLift Reviewer" w:date="2026-02-10T01:43:17Z" w:initials="PR">
    <w:p w14:paraId="17AEF6B1" w14:textId="77777777">
      <w:r>
        <w:rPr>
          <w:rStyle w:val="CommentReference"/>
        </w:rPr>
        <w:annotationRef/>
      </w:r>
      <w:r>
        <w:rPr>
          <w:color w:val="000000"/>
          <w:sz w:val="20"/>
          <w:szCs w:val="20"/>
        </w:rPr>
        <w:t>COMMITMENT — CEO Leadership and Executive Coordination
What this says: CEO must provide effective leadership, work with executive management team to create strategic direction, allocate priorities, maintain communication, promote organizational values/vision/mission, and create organizational structure supporting strategic objectives.
Why it matters: For a 9-person AI insurtech, CEO drives culture and strategic execution. This commitment is foundational to governance.
Recommendation: Establish quarterly CEO/leadership sync meetings (CEO, CTO, Head of Operations, Product Manager). Agenda: strategy alignment, priority setting, organizational changes, security/compliance status, offshore dev performance. Retain meeting minutes for Board record.</w:t>
      </w:r>
    </w:p>
  </w:comment>
  <w:comment w:id="2" w:author="PolicyLift Reviewer" w:date="2026-02-10T01:43:17Z" w:initials="PR">
    <w:p w14:paraId="33B8A977" w14:textId="77777777">
      <w:r>
        <w:rPr>
          <w:rStyle w:val="CommentReference"/>
        </w:rPr>
        <w:annotationRef/>
      </w:r>
      <w:r>
        <w:rPr>
          <w:color w:val="000000"/>
          <w:sz w:val="20"/>
          <w:szCs w:val="20"/>
        </w:rPr>
        <w:t>COMMITMENT — CEO Accountability for Critical Systems and Procedures
What this says: CEO must ensure all critical systems and procedures are in place to allow PolicyLift to operate effectively, efficiently, and in compliance with all legal and contractual obligations.
Why it matters: This is a broad accountability statement. For SOC 2 Type I, auditors will verify CEO visibility into critical systems (Supabase, infrastructure, access controls, incident response).
Recommendation: CEO to document or attest to existence of: (1) Data backup and disaster recovery systems, (2) Access control procedures (this policy), (3) Incident response procedures, (4) Change management procedures, (5) Compliance monitoring procedures. Create a checklist or attestation letter for SOC 2 audit.</w:t>
      </w:r>
    </w:p>
  </w:comment>
  <w:comment w:id="3" w:author="PolicyLift Reviewer" w:date="2026-02-10T01:43:17Z" w:initials="PR">
    <w:p w14:paraId="6D9422E1" w14:textId="77777777">
      <w:r>
        <w:rPr>
          <w:rStyle w:val="CommentReference"/>
        </w:rPr>
        <w:annotationRef/>
      </w:r>
      <w:r>
        <w:rPr>
          <w:color w:val="000000"/>
          <w:sz w:val="20"/>
          <w:szCs w:val="20"/>
        </w:rPr>
        <w:t>COMMITMENT — CEO Risk Oversight and Mitigation Leadership
What this says: CEO must assist Board with oversight of principal risk exposures (data management, security, compliance) and PolicyLift’s mitigation efforts.
Why it matters: For an insurtech company handling sensitive customer data, security and compliance risks are primary. CEO must take visible ownership.
Recommendation: Quarterly risk review with Board: (1) Present top 5-10 risks (cybersecurity, data breach, regulatory, operational, third-party), (2) Current controls and effectiveness, (3) Residual risk and mitigation plans, (4) Update risk register, (5) Escalate any critical/unmitigated risks immediately. Document risk reviews in Board minutes.</w:t>
      </w:r>
    </w:p>
  </w:comment>
  <w:comment w:id="4" w:author="PolicyLift Reviewer" w:date="2026-02-10T01:43:17Z" w:initials="PR">
    <w:p w14:paraId="70098409" w14:textId="77777777">
      <w:r>
        <w:rPr>
          <w:rStyle w:val="CommentReference"/>
        </w:rPr>
        <w:annotationRef/>
      </w:r>
      <w:r>
        <w:rPr>
          <w:color w:val="000000"/>
          <w:sz w:val="20"/>
          <w:szCs w:val="20"/>
        </w:rPr>
        <w:t>COMMITMENT — CEO Internal Control and Compliance Review
What this says: CEO must review and discuss with management and independent auditors (if engaged) the adequacy and effectiveness of internal controls and information security compliance programs.
Why it matters: For SOC 2 Type I, the auditor will verify management review of controls. CEO (Raghav) must demonstrate active review and challenge of compliance posture.
Recommendation: Quarterly: (1) Meet with CTO to review internal control status (access controls, change management, monitoring, logging), (2) If using external auditor (recommend for SOC 2), schedule quarterly calls to discuss findings, remediation, effectiveness, (3) Document discussions and any remediation decisions. Retain notes for SOC 2 evidence.</w:t>
      </w:r>
    </w:p>
  </w:comment>
  <w:comment w:id="5" w:author="PolicyLift Reviewer" w:date="2026-02-10T01:43:17Z" w:initials="PR">
    <w:p w14:paraId="05AFA07A" w14:textId="77777777">
      <w:r>
        <w:rPr>
          <w:rStyle w:val="CommentReference"/>
        </w:rPr>
        <w:annotationRef/>
      </w:r>
      <w:r>
        <w:rPr>
          <w:color w:val="000000"/>
          <w:sz w:val="20"/>
          <w:szCs w:val="20"/>
        </w:rPr>
        <w:t>PROCESS — Executive Session and Private Discussions
What this says: CEO must schedule separate executive sessions with management, internal auditor, and independent auditors to privately discuss matters that could significantly impact PolicyLift’s data security and compliance.
Why it matters: Private sessions enable candid discussion of sensitive issues (security incidents, control weaknesses, regulatory concerns) without full Board presence. This is a SOC 2 governance expectation.
Recommendation: Establish private quarterly calls: (1) CEO + CTO to discuss security incidents, vulnerabilities, control gaps, (2) CEO + external auditor (when engaged) to discuss audit findings and management challenges, (3) Document topics and decisions, (4) Actions from sessions are escalated to Board. For a 9-person company, this can be informal but documented.</w:t>
      </w:r>
    </w:p>
  </w:comment>
  <w:comment w:id="6" w:author="PolicyLift Reviewer" w:date="2026-02-10T01:43:17Z" w:initials="PR">
    <w:p w14:paraId="13453B2A" w14:textId="77777777">
      <w:r>
        <w:rPr>
          <w:rStyle w:val="CommentReference"/>
        </w:rPr>
        <w:annotationRef/>
      </w:r>
      <w:r>
        <w:rPr>
          <w:color w:val="000000"/>
          <w:sz w:val="20"/>
          <w:szCs w:val="20"/>
        </w:rPr>
        <w:t>PROCESS — Internal Audit Scope and Outcome Review
What this says: CEO must review the scope and outcomes of any internal audits and evaluate internal auditor performance (if applicable).
Why it matters: PolicyLift has no internal audit function. For SOC 2 Type I, some audit activity is expected. This policy commits to audit reviews if internal audits are conducted.
Recommendation: For SOC 2 preparation: (1) Consider engaging external audit firm for one-time SOC 2 readiness assessment, (2) Alternatively, conduct internal audit of access controls, incident response, change management, (3) CEO/CTO review audit findings and recommendations, (4) Create remediation plan and track to completion, (5) Document audit scope, findings, and corrective actions.</w:t>
      </w:r>
    </w:p>
  </w:comment>
  <w:comment w:id="7" w:author="PolicyLift Reviewer" w:date="2026-02-10T01:43:17Z" w:initials="PR">
    <w:p w14:paraId="6BA10F5F" w14:textId="77777777">
      <w:r>
        <w:rPr>
          <w:rStyle w:val="CommentReference"/>
        </w:rPr>
        <w:annotationRef/>
      </w:r>
      <w:r>
        <w:rPr>
          <w:color w:val="000000"/>
          <w:sz w:val="20"/>
          <w:szCs w:val="20"/>
        </w:rPr>
        <w:t>COMMITMENT — CEO Data Management and Security Framework Oversight
What this says: CEO must review PolicyLift’s data and information management systems, processes, and policies; oversee security and compliance frameworks.
Why it matters: This is CEO accountability for data governance. For an insurtech company with customer PII and financial data, robust data management is critical.
Recommendation: Document or attest to: (1) Data classification policy (if exists, or create), (2) Data retention and deletion procedures, (3) Encryption at rest and in transit, (4) Access controls to sensitive data, (5) Data breach notification procedures, (6) Compliance with customer privacy commitments. CEO to review quarterly with CTO and Head of Operations.</w:t>
      </w:r>
    </w:p>
  </w:comment>
  <w:comment w:id="8" w:author="PolicyLift Reviewer" w:date="2026-02-10T01:43:17Z" w:initials="PR">
    <w:p w14:paraId="2FB73B19" w14:textId="77777777">
      <w:r>
        <w:rPr>
          <w:rStyle w:val="CommentReference"/>
        </w:rPr>
        <w:annotationRef/>
      </w:r>
      <w:r>
        <w:rPr>
          <w:color w:val="000000"/>
          <w:sz w:val="20"/>
          <w:szCs w:val="20"/>
        </w:rPr>
        <w:t>COMMITMENT — Comprehensive Risk Consideration and Accounting
What this says: CEO must ensure the team considers and accounts for all significant risks in decision-making.
Why it matters: Risk-aware decision-making prevents downside surprises. For a startup, this discipline supports governance maturity.
Recommendation: Establish a risk assessment trigger process: (1) Before major decisions (new vendor, offshore expansion, system architecture change), CTO/Head of Ops present risk assessment, (2) Board or CEO approves with risk acknowledgment, (3) Example: offshore dev onboarding should include security risk assessment, (4) Document risk decisions and rationales.</w:t>
      </w:r>
    </w:p>
  </w:comment>
  <w:comment w:id="9" w:author="PolicyLift Reviewer" w:date="2026-02-10T01:43:17Z" w:initials="PR">
    <w:p w14:paraId="6D2F80BA" w14:textId="77777777">
      <w:r>
        <w:rPr>
          <w:rStyle w:val="CommentReference"/>
        </w:rPr>
        <w:annotationRef/>
      </w:r>
      <w:r>
        <w:rPr>
          <w:color w:val="000000"/>
          <w:sz w:val="20"/>
          <w:szCs w:val="20"/>
        </w:rPr>
        <w:t>COMMITMENT — Corporate Governance and Ethical Standards
What this says: CEO must ensure organization has appropriate corporate governance structures in place, including ethical standards and corporate social responsibility culture.
Why it matters: This commitment is broader than SOC 2 but supports compliance posture. It establishes tone at the top for security and ethics.
Recommendation: (1) Create or reference code of conduct for all 13 team members (employees and offshore devs via agency contract), (2) Establish ethics reporting channel (anonymous if possible), (3) For SOC 2: emphasize security and compliance as shared responsibility, (4) Document governance structure (Board, committees, decision rights), (5) CEO modeling of security behavior (MFA, compliance with policies) sets cultural expectations.</w:t>
      </w:r>
    </w:p>
  </w:comment>
  <w:comment w:id="10" w:author="PolicyLift Reviewer" w:date="2026-02-10T01:43:17Z" w:initials="PR">
    <w:p w14:paraId="3CF7A139" w14:textId="77777777">
      <w:r>
        <w:rPr>
          <w:rStyle w:val="CommentReference"/>
        </w:rPr>
        <w:annotationRef/>
      </w:r>
      <w:r>
        <w:rPr>
          <w:color w:val="000000"/>
          <w:sz w:val="20"/>
          <w:szCs w:val="20"/>
        </w:rPr>
        <w:t>PROCESS — Security and Compliance Audit Scope and Planning
What this says: CEO must review the scope and plan for security and compliance audits and related services.
Why it matters: This policy directly references SOC 2 Type I preparation. CEO must actively plan for audit engagement, scope negotiation, and evidence gathering.
Recommendation: (1) Engage SOC 2 audit firm (recommend Type I vs. Type II decision by Q2), (2) Define audit scope: systems/data in scope, time period, control objectives (CC, SI, AU), (3) Plan evidence gathering with CTO/Head of Ops (access logs, change records, incident reports, monitoring), (4) Schedule kickoff meeting with auditor, (5) Create 90-day audit readiness timeline.</w:t>
      </w:r>
    </w:p>
  </w:comment>
  <w:comment w:id="11" w:author="PolicyLift Reviewer" w:date="2026-02-10T01:43:17Z" w:initials="PR">
    <w:p w14:paraId="15ECEFE7" w14:textId="77777777">
      <w:r>
        <w:rPr>
          <w:rStyle w:val="CommentReference"/>
        </w:rPr>
        <w:annotationRef/>
      </w:r>
      <w:r>
        <w:rPr>
          <w:color w:val="000000"/>
          <w:sz w:val="20"/>
          <w:szCs w:val="20"/>
        </w:rPr>
        <w:t>RECURRING — Annual Management and Board Review Meeting
What this says: Management and Board meet annually to review strategy, governance, risk assessment, control effectiveness, risk contingency plans, succession plans, personnel policies, budgets, and subcommittees.
Why it matters: Annual Board meetings are governance baseline. For SOC 2 Type I, auditors verify Board engagement in risk and compliance oversight.
Recommendation: Schedule annual Board meeting (e.g., December, planning for next year). Agenda must include: (1) Annual risk assessment results, (2) Compliance status (SOC 2 readiness, audit findings), (3) Internal control effectiveness review, (4) Incident review (any data breaches, security events), (5) Succession and retention plans (especially for key roles like CTO), (6) Budget allocation for security/compliance initiatives. Retain meeting minutes.</w:t>
      </w:r>
    </w:p>
  </w:comment>
  <w:comment w:id="12" w:author="PolicyLift Reviewer" w:date="2026-02-10T01:43:17Z" w:initials="PR">
    <w:p w14:paraId="7AA6B782" w14:textId="77777777">
      <w:r>
        <w:rPr>
          <w:rStyle w:val="CommentReference"/>
        </w:rPr>
        <w:annotationRef/>
      </w:r>
      <w:r>
        <w:rPr>
          <w:color w:val="000000"/>
          <w:sz w:val="20"/>
          <w:szCs w:val="20"/>
        </w:rPr>
        <w:t>PROCESS — Risk Assessment Report and Board Evaluation
What this says: Management and Board must evaluate Risk and Governance Executive Committee report containing annual risk assessment results and relevant information from internal/external assessments.
Why it matters: For a 9-person company, this may be simplified. But formal risk assessment and Board review is expected for SOC 2 governance.
Recommendation: (1) Designate ’Risk Committee’ or assign to CEO/CTO (no dedicated committee needed yet), (2) Conduct annual risk assessment (threat identification, likelihood, impact, controls, residual risk), (3) Create risk register or report, (4) Present to Board with assessment results and recommended actions, (5) Board approves risk acceptance or mandates mitigation, (6) Retain risk assessment and Board approvals.</w:t>
      </w:r>
    </w:p>
  </w:comment>
  <w:comment w:id="13" w:author="PolicyLift Reviewer" w:date="2026-02-10T01:43:17Z" w:initials="PR">
    <w:p w14:paraId="6666933D" w14:textId="77777777">
      <w:r>
        <w:rPr>
          <w:rStyle w:val="CommentReference"/>
        </w:rPr>
        <w:annotationRef/>
      </w:r>
      <w:r>
        <w:rPr>
          <w:color w:val="000000"/>
          <w:sz w:val="20"/>
          <w:szCs w:val="20"/>
        </w:rPr>
        <w:t>PROCESS — Resource and Capability Assessment
What this says: Management and Board must determine if additional employees, systems, equipment, technologies are required to meet company goals and evaluate organizational capabilities.
Why it matters: For a growing insurtech with offshore dev dependencies, resource planning is critical. This informs SOC 2 control readiness.
Recommendation: Annually assess: (1) Do we have sufficient security expertise (CTO + CISO? Currently no), (2) Do we have adequate tools (vulnerability scanner, log management, monitoring), (3) Do we have documented processes and runbooks, (4) Are offshore devs adequate or do we need more/different skills, (5) Board approves headcount/budget for security/compliance roles. For SOC 2 Type I, current team is likely adequate; for Type II or growth, recommend dedicated security hire.</w:t>
      </w:r>
    </w:p>
  </w:comment>
  <w:comment w:id="14" w:author="PolicyLift Reviewer" w:date="2026-02-10T01:43:17Z" w:initials="PR">
    <w:p w14:paraId="0E46EE43" w14:textId="77777777">
      <w:r>
        <w:rPr>
          <w:rStyle w:val="CommentReference"/>
        </w:rPr>
        <w:annotationRef/>
      </w:r>
      <w:r>
        <w:rPr>
          <w:color w:val="000000"/>
          <w:sz w:val="20"/>
          <w:szCs w:val="20"/>
        </w:rPr>
        <w:t>PROCESS — Compensation and Fraud Prevention Review
What this says: Management and Board must evaluate pay and performance assessment policies to retain qualified personnel and identify possible pressures or incentives for staff to commit fraud.
Why it matters: For SOC 2, this addresses tone at the top and fraud prevention. Incentive structures should not pressure employees to cut corners on security/compliance.
Recommendation: Annually review: (1) Compensation structure (salaries, bonuses, equity), (2) Ensure no perverse incentives (e.g., bonus tied to revenue without security/compliance criteria), (3) For offshore devs: ensure agency compensation doesn’t incentivize quality/speed over security, (4) Consider including security/compliance metrics in performance reviews, (5) Document review and any policy adjustments.</w:t>
      </w:r>
    </w:p>
  </w:comment>
  <w:comment w:id="15" w:author="PolicyLift Reviewer" w:date="2026-02-10T01:43:17Z" w:initials="PR">
    <w:p w14:paraId="6E7BF296" w14:textId="77777777">
      <w:r>
        <w:rPr>
          <w:rStyle w:val="CommentReference"/>
        </w:rPr>
        <w:annotationRef/>
      </w:r>
      <w:r>
        <w:rPr>
          <w:color w:val="000000"/>
          <w:sz w:val="20"/>
          <w:szCs w:val="20"/>
        </w:rPr>
        <w:t>PROCESS — Business Continuity and Disaster Recovery Plan Review
What this says: Management and Board must evaluate business contingency plans.
Why it matters: For an insurtech company, continuity is customer expectation. This ties to resilience and availability commitments.
Recommendation: Annually review: (1) Data backup and recovery procedures (test results from baseline hardening policy), (2) Application failover and high-availability setup, (3) RTO/RPO targets and current capability, (4) Incident escalation procedures, (5) Offshore dev communication plan for incident response, (6) Update contingency plans based on changes. Test DR plan annually (e.g., staging environment recovery).</w:t>
      </w:r>
    </w:p>
  </w:comment>
  <w:comment w:id="16" w:author="PolicyLift Reviewer" w:date="2026-02-10T01:43:17Z" w:initials="PR">
    <w:p w14:paraId="2AE862B3" w14:textId="77777777">
      <w:r>
        <w:rPr>
          <w:rStyle w:val="CommentReference"/>
        </w:rPr>
        <w:annotationRef/>
      </w:r>
      <w:r>
        <w:rPr>
          <w:color w:val="000000"/>
          <w:sz w:val="20"/>
          <w:szCs w:val="20"/>
        </w:rPr>
        <w:t>PROCESS — Succession Planning for Key Roles
What this says: Management and Board must evaluate succession plans for assignment of responsibility for key roles.
Why it matters: For a 9-person startup, key person risk is high (CTO, Head of Operations). Succession planning prevents single points of failure.
Recommendation: Annually identify and document: (1) Key roles (CEO, CTO, Head of Operations), (2) Current succession candidates (internal or external), (3) Skill gaps or training needed, (4) For CTO: identify backup or on-call engineer for incident response, (5) For offshore devs: ensure no single dev is critical blocker. Create succession plan document and Board approval.</w:t>
      </w:r>
    </w:p>
  </w:comment>
  <w:comment w:id="17" w:author="PolicyLift Reviewer" w:date="2026-02-10T01:43:17Z" w:initials="PR">
    <w:p w14:paraId="26271A9E" w14:textId="77777777">
      <w:r>
        <w:rPr>
          <w:rStyle w:val="CommentReference"/>
        </w:rPr>
        <w:annotationRef/>
      </w:r>
      <w:r>
        <w:rPr>
          <w:color w:val="000000"/>
          <w:sz w:val="20"/>
          <w:szCs w:val="20"/>
        </w:rPr>
        <w:t>RECURRING — Annual Board Charter Review
What this says: The Board charter must be reviewed annually by the Board to ensure alignment with Board goals and obligations.
Why it matters: This policy commitment ensures governance structures remain current. As PolicyLift grows or regulations change, charter may need updates.
Recommendation: Annually (e.g., December with annual Board meeting): (1) Review Board charter for alignment with business strategy and regulatory requirements, (2) Identify any needed updates (governance structure, committee charters, Board composition), (3) Document charter review and any amendments, (4) Board approves any revisions. For SOC 2 audit, retain signed charter and review documentation.</w:t>
      </w:r>
    </w:p>
  </w:comment>
  <w:comment w:id="18" w:author="PolicyLift Reviewer" w:date="2026-02-10T01:43:17Z" w:initials="PR">
    <w:p w14:paraId="0F305A05" w14:textId="77777777">
      <w:r>
        <w:rPr>
          <w:rStyle w:val="CommentReference"/>
        </w:rPr>
        <w:annotationRef/>
      </w:r>
      <w:r>
        <w:rPr>
          <w:color w:val="000000"/>
          <w:sz w:val="20"/>
          <w:szCs w:val="20"/>
        </w:rPr>
        <w:t>DECISION NEEDED — Board Membership and Composition
What this says: Board charter defines Chairman, Vice Chairman, Members, but the policy shows placeholders (blank)—no actual Board composition is named.
Why it matters: For SOC 2 Type I audit, auditor will inquire about Board structure, roles, and oversight responsibilities. An undefined Board creates governance gaps.
Recommendation: CEO (Raghav) and potential Board members must decide: (1) Does PolicyLift have formal Board or operates as C-suite leadership team?, (2) If formal Board: Who is Chairman (external? internal?), who are Members?, (3) If leadership team: Document CEO, CTO, Head of Operations as decision-makers, (4) Define Board meeting frequency (annual minimum for SOC 2), (5) Document Board composition and roles. For a 9-person company, formal Board may be lightweight—leadership team oversight may suffice if documented.</w:t>
      </w:r>
    </w:p>
  </w:comment>
  <w:comment w:id="19" w:author="PolicyLift Reviewer" w:date="2026-02-10T01:43:17Z" w:initials="PR">
    <w:p w14:paraId="03B962EF" w14:textId="77777777">
      <w:r>
        <w:rPr>
          <w:rStyle w:val="CommentReference"/>
        </w:rPr>
        <w:annotationRef/>
      </w:r>
      <w:r>
        <w:rPr>
          <w:color w:val="000000"/>
          <w:sz w:val="20"/>
          <w:szCs w:val="20"/>
        </w:rPr>
        <w:t>DECISION NEEDED — Internal Audit Function Assignment
What this says: Policy references ’internal auditor’ evaluation and performance but PolicyLift has no internal audit function or assigned auditor.
Why it matters: For SOC 2 Type I audit, some audit activity strengthens governance. PolicyLift must decide: in-house, external, or none for now.
Recommendation: For SOC 2 Type I: External SOC 2 audit by reputable firm is sufficient and recommended. For Type II or future maturity, consider: (1) Quarterly internal audit by external firm (security/compliance focus), (2) Or assign internal audit role to Head of Operations with external support as needed. Budget ~$1-5K/quarter for external audit support. Document audit plan and Board 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8F964A" w15:done="0"/>
  <w15:commentEx w15:paraId="17AEF6B1" w15:done="0"/>
  <w15:commentEx w15:paraId="33B8A977" w15:done="0"/>
  <w15:commentEx w15:paraId="6D9422E1" w15:done="0"/>
  <w15:commentEx w15:paraId="70098409" w15:done="0"/>
  <w15:commentEx w15:paraId="05AFA07A" w15:done="0"/>
  <w15:commentEx w15:paraId="13453B2A" w15:done="0"/>
  <w15:commentEx w15:paraId="6BA10F5F" w15:done="0"/>
  <w15:commentEx w15:paraId="2FB73B19" w15:done="0"/>
  <w15:commentEx w15:paraId="6D2F80BA" w15:done="0"/>
  <w15:commentEx w15:paraId="3CF7A139" w15:done="0"/>
  <w15:commentEx w15:paraId="15ECEFE7" w15:done="0"/>
  <w15:commentEx w15:paraId="7AA6B782" w15:done="0"/>
  <w15:commentEx w15:paraId="6666933D" w15:done="0"/>
  <w15:commentEx w15:paraId="0E46EE43" w15:done="0"/>
  <w15:commentEx w15:paraId="6E7BF296" w15:done="0"/>
  <w15:commentEx w15:paraId="2AE862B3" w15:done="0"/>
  <w15:commentEx w15:paraId="26271A9E" w15:done="0"/>
  <w15:commentEx w15:paraId="0F305A05" w15:done="0"/>
  <w15:commentEx w15:paraId="03B96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3F48B19" w16cex:dateUtc="2026-02-10T01:43:17Z"/>
  <w16cex:commentExtensible w16cex:durableId="59961E52" w16cex:dateUtc="2026-02-10T01:43:17Z"/>
  <w16cex:commentExtensible w16cex:durableId="7452F017" w16cex:dateUtc="2026-02-10T01:43:17Z"/>
  <w16cex:commentExtensible w16cex:durableId="5B07A648" w16cex:dateUtc="2026-02-10T01:43:17Z"/>
  <w16cex:commentExtensible w16cex:durableId="6A04ED5E" w16cex:dateUtc="2026-02-10T01:43:17Z"/>
  <w16cex:commentExtensible w16cex:durableId="1A0F89D6" w16cex:dateUtc="2026-02-10T01:43:17Z"/>
  <w16cex:commentExtensible w16cex:durableId="183DF5B5" w16cex:dateUtc="2026-02-10T01:43:17Z"/>
  <w16cex:commentExtensible w16cex:durableId="7DFE43B1" w16cex:dateUtc="2026-02-10T01:43:17Z"/>
  <w16cex:commentExtensible w16cex:durableId="377BAB36" w16cex:dateUtc="2026-02-10T01:43:17Z"/>
  <w16cex:commentExtensible w16cex:durableId="5D6F5017" w16cex:dateUtc="2026-02-10T01:43:17Z"/>
  <w16cex:commentExtensible w16cex:durableId="3E148A70" w16cex:dateUtc="2026-02-10T01:43:17Z"/>
  <w16cex:commentExtensible w16cex:durableId="474E3E9D" w16cex:dateUtc="2026-02-10T01:43:17Z"/>
  <w16cex:commentExtensible w16cex:durableId="1D287238" w16cex:dateUtc="2026-02-10T01:43:17Z"/>
  <w16cex:commentExtensible w16cex:durableId="787E9B7F" w16cex:dateUtc="2026-02-10T01:43:17Z"/>
  <w16cex:commentExtensible w16cex:durableId="509F9E48" w16cex:dateUtc="2026-02-10T01:43:17Z"/>
  <w16cex:commentExtensible w16cex:durableId="03E0A7E7" w16cex:dateUtc="2026-02-10T01:43:17Z"/>
  <w16cex:commentExtensible w16cex:durableId="03A3B911" w16cex:dateUtc="2026-02-10T01:43:17Z"/>
  <w16cex:commentExtensible w16cex:durableId="09EFE6C6" w16cex:dateUtc="2026-02-10T01:43:17Z"/>
  <w16cex:commentExtensible w16cex:durableId="1CB6566B" w16cex:dateUtc="2026-02-10T01:43:17Z"/>
  <w16cex:commentExtensible w16cex:durableId="2710E2D9" w16cex:dateUtc="2026-02-10T01:43: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8F964A" w16cid:durableId="03F48B19"/>
  <w16cid:commentId w16cid:paraId="17AEF6B1" w16cid:durableId="59961E52"/>
  <w16cid:commentId w16cid:paraId="33B8A977" w16cid:durableId="7452F017"/>
  <w16cid:commentId w16cid:paraId="6D9422E1" w16cid:durableId="5B07A648"/>
  <w16cid:commentId w16cid:paraId="70098409" w16cid:durableId="6A04ED5E"/>
  <w16cid:commentId w16cid:paraId="05AFA07A" w16cid:durableId="1A0F89D6"/>
  <w16cid:commentId w16cid:paraId="13453B2A" w16cid:durableId="183DF5B5"/>
  <w16cid:commentId w16cid:paraId="6BA10F5F" w16cid:durableId="7DFE43B1"/>
  <w16cid:commentId w16cid:paraId="2FB73B19" w16cid:durableId="377BAB36"/>
  <w16cid:commentId w16cid:paraId="6D2F80BA" w16cid:durableId="5D6F5017"/>
  <w16cid:commentId w16cid:paraId="3CF7A139" w16cid:durableId="3E148A70"/>
  <w16cid:commentId w16cid:paraId="15ECEFE7" w16cid:durableId="474E3E9D"/>
  <w16cid:commentId w16cid:paraId="7AA6B782" w16cid:durableId="1D287238"/>
  <w16cid:commentId w16cid:paraId="6666933D" w16cid:durableId="787E9B7F"/>
  <w16cid:commentId w16cid:paraId="0E46EE43" w16cid:durableId="509F9E48"/>
  <w16cid:commentId w16cid:paraId="6E7BF296" w16cid:durableId="03E0A7E7"/>
  <w16cid:commentId w16cid:paraId="2AE862B3" w16cid:durableId="03A3B911"/>
  <w16cid:commentId w16cid:paraId="26271A9E" w16cid:durableId="09EFE6C6"/>
  <w16cid:commentId w16cid:paraId="0F305A05" w16cid:durableId="1CB6566B"/>
  <w16cid:commentId w16cid:paraId="03B962EF" w16cid:durableId="2710E2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2026-02-10T01:43:16.625Z</dcterms:created>
  <dcterms:modified xsi:type="dcterms:W3CDTF">2026-02-10T01:43:16.625Z</dcterms:modified>
</cp:coreProperties>
</file>

<file path=docProps/custom.xml><?xml version="1.0" encoding="utf-8"?>
<Properties xmlns="http://schemas.openxmlformats.org/officeDocument/2006/custom-properties" xmlns:vt="http://schemas.openxmlformats.org/officeDocument/2006/docPropsVTypes"/>
</file>