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Data Classification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VENDOR/THIRD-PARTY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All information assets must be identified and have a designated owner</w:t>
      </w:r>
    </w:p>
    <w:p>
      <w:pPr>
        <w:pStyle w:val="ListParagraph"/>
        <w:numPr>
          <w:ilvl w:val="0"/>
          <w:numId w:val="2"/>
        </w:numPr>
        <w:spacing w:before="40" w:after="40"/>
      </w:pPr>
      <w:r>
        <w:rPr>
          <w:rFonts w:ascii="Arial" w:cs="Arial" w:eastAsia="Arial" w:hAnsi="Arial"/>
          <w:sz w:val="22"/>
          <w:szCs w:val="22"/>
        </w:rPr>
        <w:t xml:space="preserve">All information classified into four categories: Public, Internal, Confidential, Restricted</w:t>
      </w:r>
    </w:p>
    <w:p>
      <w:pPr>
        <w:pStyle w:val="ListParagraph"/>
        <w:numPr>
          <w:ilvl w:val="0"/>
          <w:numId w:val="2"/>
        </w:numPr>
        <w:spacing w:before="40" w:after="40"/>
      </w:pPr>
      <w:r>
        <w:rPr>
          <w:rFonts w:ascii="Arial" w:cs="Arial" w:eastAsia="Arial" w:hAnsi="Arial"/>
          <w:sz w:val="22"/>
          <w:szCs w:val="22"/>
        </w:rPr>
        <w:t xml:space="preserve">Unclassified data defaults to Confidential to avoid data leakage</w:t>
      </w:r>
    </w:p>
    <w:p>
      <w:pPr>
        <w:pStyle w:val="ListParagraph"/>
        <w:numPr>
          <w:ilvl w:val="0"/>
          <w:numId w:val="2"/>
        </w:numPr>
        <w:spacing w:before="40" w:after="40"/>
      </w:pPr>
      <w:r>
        <w:rPr>
          <w:rFonts w:ascii="Arial" w:cs="Arial" w:eastAsia="Arial" w:hAnsi="Arial"/>
          <w:sz w:val="22"/>
          <w:szCs w:val="22"/>
        </w:rPr>
        <w:t xml:space="preserve">Asset inventory must include ownership, classification, and location</w:t>
      </w:r>
    </w:p>
    <w:p>
      <w:pPr>
        <w:pStyle w:val="ListParagraph"/>
        <w:numPr>
          <w:ilvl w:val="0"/>
          <w:numId w:val="2"/>
        </w:numPr>
        <w:spacing w:before="40" w:after="40"/>
      </w:pPr>
      <w:r>
        <w:rPr>
          <w:rFonts w:ascii="Arial" w:cs="Arial" w:eastAsia="Arial" w:hAnsi="Arial"/>
          <w:sz w:val="22"/>
          <w:szCs w:val="22"/>
        </w:rPr>
        <w:t xml:space="preserve">Asset inventory reviewed and updated annually or as-needed</w:t>
      </w:r>
    </w:p>
    <w:p>
      <w:pPr>
        <w:pStyle w:val="ListParagraph"/>
        <w:numPr>
          <w:ilvl w:val="0"/>
          <w:numId w:val="2"/>
        </w:numPr>
        <w:spacing w:before="40" w:after="40"/>
      </w:pPr>
      <w:r>
        <w:rPr>
          <w:rFonts w:ascii="Arial" w:cs="Arial" w:eastAsia="Arial" w:hAnsi="Arial"/>
          <w:sz w:val="22"/>
          <w:szCs w:val="22"/>
        </w:rPr>
        <w:t xml:space="preserve">Third parties handling PolicyLift data must adhere to this policy via contract</w:t>
      </w:r>
    </w:p>
    <w:p>
      <w:pPr>
        <w:pStyle w:val="ListParagraph"/>
        <w:numPr>
          <w:ilvl w:val="0"/>
          <w:numId w:val="2"/>
        </w:numPr>
        <w:spacing w:before="40" w:after="40"/>
      </w:pPr>
      <w:r>
        <w:rPr>
          <w:rFonts w:ascii="Arial" w:cs="Arial" w:eastAsia="Arial" w:hAnsi="Arial"/>
          <w:sz w:val="22"/>
          <w:szCs w:val="22"/>
        </w:rPr>
        <w:t xml:space="preserve">Confidential/Restricted data disclosed to auditors, regulators, etc. requires NDAs</w:t>
      </w:r>
    </w:p>
    <w:p>
      <w:pPr>
        <w:pStyle w:val="ListParagraph"/>
        <w:numPr>
          <w:ilvl w:val="0"/>
          <w:numId w:val="2"/>
        </w:numPr>
        <w:spacing w:before="40" w:after="40"/>
      </w:pPr>
      <w:r>
        <w:rPr>
          <w:rFonts w:ascii="Arial" w:cs="Arial" w:eastAsia="Arial" w:hAnsi="Arial"/>
          <w:sz w:val="22"/>
          <w:szCs w:val="22"/>
        </w:rPr>
        <w:t xml:space="preserve">Information handling controls must match classification level</w:t>
      </w:r>
    </w:p>
    <w:p>
      <w:pPr>
        <w:pStyle w:val="ListParagraph"/>
        <w:numPr>
          <w:ilvl w:val="0"/>
          <w:numId w:val="2"/>
        </w:numPr>
        <w:spacing w:before="40" w:after="40"/>
      </w:pPr>
      <w:r>
        <w:rPr>
          <w:rFonts w:ascii="Arial" w:cs="Arial" w:eastAsia="Arial" w:hAnsi="Arial"/>
          <w:sz w:val="22"/>
          <w:szCs w:val="22"/>
        </w:rPr>
        <w:t xml:space="preserve">External publication requires corporate communications authorization</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 owners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Department heads: CTO (systems), Head of Operations (business processes), Product Manager (customer features)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users (employees, contractors)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9 PolicyLift staff + 4 offshore developers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Corporate communications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 (Raghav) or designated representative</w:t>
            </w:r>
          </w:p>
        </w:tc>
      </w:tr>
    </w:tbl>
    <w:p>
      <w:r>
        <w:br w:type="page"/>
      </w:r>
    </w:p>
    <w:p>
      <w:pPr>
        <w:pStyle w:val="Heading1"/>
        <w:spacing w:before="0" w:after="200"/>
      </w:pPr>
      <w:r>
        <w:rPr>
          <w:rFonts w:ascii="Arial" w:cs="Arial" w:eastAsia="Arial" w:hAnsi="Arial"/>
          <w:b/>
          <w:bCs/>
          <w:sz w:val="32"/>
          <w:szCs w:val="32"/>
        </w:rPr>
        <w:t xml:space="preserve">Data Classification Policy</w:t>
      </w:r>
    </w:p>
    <w:p>
      <w:pPr>
        <w:spacing w:before="60" w:after="60"/>
      </w:pPr>
      <w:commentRangeStart w:id="0"/>
      <w:r>
        <w:rPr>
          <w:rFonts w:ascii="Arial" w:cs="Arial" w:eastAsia="Arial" w:hAnsi="Arial"/>
          <w:sz w:val="22"/>
          <w:szCs w:val="22"/>
        </w:rPr>
        <w:t xml:space="preserve">Data classification is the process of assigning value to information in order to organize it according to its risk to loss or harm from disclosure.</w:t>
      </w:r>
      <w:commentRangeEnd w:id="0"/>
      <w:r>
        <w:rPr>
          <w:rStyle w:val="CommentReference"/>
        </w:rPr>
        <w:commentReference w:id="0"/>
      </w:r>
    </w:p>
    <w:p>
      <w:pPr>
        <w:spacing w:before="60" w:after="60"/>
      </w:pPr>
    </w:p>
    <w:p>
      <w:pPr>
        <w:pStyle w:val="Heading2"/>
        <w:spacing w:before="200" w:after="100"/>
      </w:pPr>
      <w:r>
        <w:rPr>
          <w:rFonts w:ascii="Arial" w:cs="Arial" w:eastAsia="Arial" w:hAnsi="Arial"/>
          <w:b/>
          <w:bCs/>
          <w:sz w:val="24"/>
          <w:szCs w:val="24"/>
        </w:rPr>
        <w:t xml:space="preserve">Purpose</w:t>
      </w:r>
    </w:p>
    <w:p>
      <w:pPr>
        <w:spacing w:before="60" w:after="60"/>
      </w:pPr>
    </w:p>
    <w:p>
      <w:pPr>
        <w:spacing w:before="60" w:after="60"/>
      </w:pPr>
      <w:r>
        <w:rPr>
          <w:rFonts w:ascii="Arial" w:cs="Arial" w:eastAsia="Arial" w:hAnsi="Arial"/>
          <w:sz w:val="22"/>
          <w:szCs w:val="22"/>
        </w:rPr>
        <w:t xml:space="preserve">This policy assists PolicyLift staff in determining what information can be disclosed to outside parties, as well as the relative sensitivity of the information that should not be disclosed outside of PolicyLift without proper authorization.</w:t>
      </w:r>
    </w:p>
    <w:p>
      <w:pPr>
        <w:spacing w:before="60" w:after="60"/>
      </w:pPr>
    </w:p>
    <w:p>
      <w:pPr>
        <w:pStyle w:val="Heading2"/>
        <w:spacing w:before="200" w:after="100"/>
      </w:pPr>
      <w:r>
        <w:rPr>
          <w:rFonts w:ascii="Arial" w:cs="Arial" w:eastAsia="Arial" w:hAnsi="Arial"/>
          <w:b/>
          <w:bCs/>
          <w:sz w:val="24"/>
          <w:szCs w:val="24"/>
        </w:rPr>
        <w:t xml:space="preserve">Scope</w:t>
      </w:r>
    </w:p>
    <w:p>
      <w:pPr>
        <w:spacing w:before="60" w:after="60"/>
      </w:pPr>
    </w:p>
    <w:p>
      <w:pPr>
        <w:spacing w:before="60" w:after="60"/>
      </w:pPr>
      <w:r>
        <w:rPr>
          <w:rFonts w:ascii="Arial" w:cs="Arial" w:eastAsia="Arial" w:hAnsi="Arial"/>
          <w:sz w:val="22"/>
          <w:szCs w:val="22"/>
        </w:rPr>
        <w:t xml:space="preserve">This policy covers all information assets owned and managed by PolicyLift including (but not limited to), information (electronic and non-electronic), associated IT infrastructure such as software, networks, desktops, laptops, servers. Further, this policy is applicable to the owners, custodians, and all users (employees, directors, shareholders, consultants and contractors) of such information assets.</w:t>
      </w:r>
    </w:p>
    <w:p>
      <w:pPr>
        <w:spacing w:before="60" w:after="60"/>
      </w:pPr>
    </w:p>
    <w:p>
      <w:pPr>
        <w:pStyle w:val="Heading2"/>
        <w:spacing w:before="200" w:after="100"/>
      </w:pPr>
      <w:r>
        <w:rPr>
          <w:rFonts w:ascii="Arial" w:cs="Arial" w:eastAsia="Arial" w:hAnsi="Arial"/>
          <w:b/>
          <w:bCs/>
          <w:sz w:val="24"/>
          <w:szCs w:val="24"/>
        </w:rPr>
        <w:t xml:space="preserve">High Level Policy</w:t>
      </w:r>
    </w:p>
    <w:p>
      <w:pPr>
        <w:spacing w:before="60" w:after="60"/>
      </w:pPr>
    </w:p>
    <w:p>
      <w:pPr>
        <w:spacing w:before="60" w:after="60"/>
      </w:pPr>
      <w:commentRangeStart w:id="1"/>
      <w:r>
        <w:rPr>
          <w:rFonts w:ascii="Arial" w:cs="Arial" w:eastAsia="Arial" w:hAnsi="Arial"/>
          <w:sz w:val="22"/>
          <w:szCs w:val="22"/>
        </w:rPr>
        <w:t xml:space="preserve">All information assets (electronic and non-electronic) shall have designated owners and be classified in accordance with information classification guidelines stated in this document.</w:t>
      </w:r>
      <w:commentRangeEnd w:id="1"/>
      <w:r>
        <w:rPr>
          <w:rStyle w:val="CommentReference"/>
        </w:rPr>
        <w:commentReference w:id="1"/>
      </w:r>
    </w:p>
    <w:p>
      <w:pPr>
        <w:spacing w:before="60" w:after="60"/>
      </w:pPr>
    </w:p>
    <w:p>
      <w:pPr>
        <w:spacing w:before="60" w:after="60"/>
      </w:pPr>
      <w:commentRangeStart w:id="18"/>
      <w:r>
        <w:rPr>
          <w:rFonts w:ascii="Arial" w:cs="Arial" w:eastAsia="Arial" w:hAnsi="Arial"/>
          <w:sz w:val="22"/>
          <w:szCs w:val="22"/>
        </w:rPr>
        <w:t xml:space="preserve">All PolicyLift employees, directors, shareholders, consultants, and contractors who handle information stored at or controlled by PolicyLift are responsible for understanding and implementing this policy.</w:t>
      </w:r>
      <w:commentRangeEnd w:id="18"/>
      <w:r>
        <w:rPr>
          <w:rStyle w:val="CommentReference"/>
        </w:rPr>
        <w:commentReference w:id="18"/>
      </w:r>
    </w:p>
    <w:p>
      <w:pPr>
        <w:spacing w:before="60" w:after="60"/>
      </w:pPr>
    </w:p>
    <w:p>
      <w:pPr>
        <w:spacing w:before="60" w:after="60"/>
      </w:pPr>
      <w:commentRangeStart w:id="17"/>
      <w:r>
        <w:rPr>
          <w:rFonts w:ascii="Arial" w:cs="Arial" w:eastAsia="Arial" w:hAnsi="Arial"/>
          <w:sz w:val="22"/>
          <w:szCs w:val="22"/>
        </w:rPr>
        <w:t xml:space="preserve">Where a third party will be responsible for handling the information on behalf of the PolicyLift, the third party shall be required by contract to adhere to this policy prior to the sharing of information.</w:t>
      </w:r>
      <w:commentRangeEnd w:id="17"/>
      <w:r>
        <w:rPr>
          <w:rStyle w:val="CommentReference"/>
        </w:rPr>
        <w:commentReference w:id="17"/>
      </w:r>
    </w:p>
    <w:p>
      <w:pPr>
        <w:spacing w:before="60" w:after="60"/>
      </w:pPr>
    </w:p>
    <w:p>
      <w:pPr>
        <w:pStyle w:val="Heading2"/>
        <w:spacing w:before="200" w:after="100"/>
      </w:pPr>
      <w:r>
        <w:rPr>
          <w:rFonts w:ascii="Arial" w:cs="Arial" w:eastAsia="Arial" w:hAnsi="Arial"/>
          <w:b/>
          <w:bCs/>
          <w:sz w:val="24"/>
          <w:szCs w:val="24"/>
        </w:rPr>
        <w:t xml:space="preserve">Detailed Policy</w:t>
      </w:r>
    </w:p>
    <w:p>
      <w:pPr>
        <w:spacing w:before="60" w:after="60"/>
      </w:pPr>
    </w:p>
    <w:p>
      <w:pPr>
        <w:pStyle w:val="Heading3"/>
        <w:spacing w:before="160" w:after="80"/>
      </w:pPr>
      <w:r>
        <w:rPr>
          <w:rFonts w:ascii="Arial" w:cs="Arial" w:eastAsia="Arial" w:hAnsi="Arial"/>
          <w:b/>
          <w:bCs/>
          <w:sz w:val="22"/>
          <w:szCs w:val="22"/>
        </w:rPr>
        <w:t xml:space="preserve">Asset Identification</w:t>
      </w:r>
    </w:p>
    <w:p>
      <w:pPr>
        <w:spacing w:before="60" w:after="60"/>
      </w:pPr>
    </w:p>
    <w:p>
      <w:pPr>
        <w:spacing w:before="60" w:after="60"/>
      </w:pPr>
      <w:commentRangeStart w:id="2"/>
      <w:r>
        <w:rPr>
          <w:rFonts w:ascii="Arial" w:cs="Arial" w:eastAsia="Arial" w:hAnsi="Arial"/>
          <w:sz w:val="22"/>
          <w:szCs w:val="22"/>
        </w:rPr>
        <w:t xml:space="preserve">All information and related IT assets of PolicyLift shall be clearly identified and have an owner. This includes information assets, physical IT assets, and IT services.</w:t>
      </w:r>
      <w:commentRangeEnd w:id="2"/>
      <w:r>
        <w:rPr>
          <w:rStyle w:val="CommentReference"/>
        </w:rPr>
        <w:commentReference w:id="2"/>
      </w:r>
    </w:p>
    <w:p>
      <w:pPr>
        <w:spacing w:before="60" w:after="60"/>
      </w:pPr>
    </w:p>
    <w:p>
      <w:pPr>
        <w:pStyle w:val="Heading3"/>
        <w:spacing w:before="160" w:after="80"/>
      </w:pPr>
      <w:r>
        <w:rPr>
          <w:rFonts w:ascii="Arial" w:cs="Arial" w:eastAsia="Arial" w:hAnsi="Arial"/>
          <w:b/>
          <w:bCs/>
          <w:sz w:val="22"/>
          <w:szCs w:val="22"/>
        </w:rPr>
        <w:t xml:space="preserve">Asset Classification</w:t>
      </w:r>
    </w:p>
    <w:p>
      <w:pPr>
        <w:spacing w:before="60" w:after="60"/>
      </w:pPr>
    </w:p>
    <w:p>
      <w:pPr>
        <w:spacing w:before="60" w:after="60"/>
      </w:pPr>
      <w:commentRangeStart w:id="3"/>
      <w:r>
        <w:rPr>
          <w:rFonts w:ascii="Arial" w:cs="Arial" w:eastAsia="Arial" w:hAnsi="Arial"/>
          <w:sz w:val="22"/>
          <w:szCs w:val="22"/>
        </w:rPr>
        <w:t xml:space="preserve">PolicyLift shall classify, record and maintain an inventory of information assets. The asset inventory shall include a list of all information assets owned and operated by PolicyLift including, but not limited to, information in an electronic and non-electronic form.</w:t>
      </w:r>
      <w:commentRangeEnd w:id="3"/>
      <w:r>
        <w:rPr>
          <w:rStyle w:val="CommentReference"/>
        </w:rPr>
        <w:commentReference w:id="3"/>
      </w:r>
    </w:p>
    <w:p>
      <w:pPr>
        <w:spacing w:before="60" w:after="60"/>
      </w:pPr>
    </w:p>
    <w:p>
      <w:pPr>
        <w:spacing w:before="60" w:after="60"/>
      </w:pPr>
      <w:r>
        <w:rPr>
          <w:rFonts w:ascii="Arial" w:cs="Arial" w:eastAsia="Arial" w:hAnsi="Arial"/>
          <w:sz w:val="22"/>
          <w:szCs w:val="22"/>
        </w:rPr>
        <w:t xml:space="preserve">PolicyLift shall maintain an inventory of all information assets including details on asset ownership, classification and location. The asset inventory listing shall be reviewed and updated by management on an annual or as-needed basis.</w:t>
      </w:r>
    </w:p>
    <w:p>
      <w:pPr>
        <w:spacing w:before="60" w:after="60"/>
      </w:pPr>
    </w:p>
    <w:p>
      <w:pPr>
        <w:pStyle w:val="Heading1"/>
        <w:spacing w:before="240" w:after="120"/>
      </w:pPr>
      <w:r>
        <w:rPr>
          <w:rFonts w:ascii="Arial" w:cs="Arial" w:eastAsia="Arial" w:hAnsi="Arial"/>
          <w:b/>
          <w:bCs/>
          <w:sz w:val="28"/>
          <w:szCs w:val="28"/>
        </w:rPr>
        <w:t xml:space="preserve">Information Classification</w:t>
      </w:r>
    </w:p>
    <w:p>
      <w:pPr>
        <w:spacing w:before="60" w:after="60"/>
      </w:pPr>
    </w:p>
    <w:p>
      <w:pPr>
        <w:spacing w:before="60" w:after="60"/>
      </w:pPr>
      <w:r>
        <w:rPr>
          <w:rFonts w:ascii="Arial" w:cs="Arial" w:eastAsia="Arial" w:hAnsi="Arial"/>
          <w:sz w:val="22"/>
          <w:szCs w:val="22"/>
        </w:rPr>
        <w:t xml:space="preserve">Information in a "final" or published state that is either in the custody of or produced and owned by PolicyLift must be classified into one of the following four categories:</w:t>
      </w:r>
    </w:p>
    <w:p>
      <w:pPr>
        <w:spacing w:before="60" w:after="60"/>
      </w:pPr>
    </w:p>
    <w:p>
      <w:pPr>
        <w:spacing w:before="60" w:after="60"/>
      </w:pPr>
      <w:r>
        <w:rPr>
          <w:rFonts w:ascii="Arial" w:cs="Arial" w:eastAsia="Arial" w:hAnsi="Arial"/>
          <w:sz w:val="22"/>
          <w:szCs w:val="22"/>
        </w:rPr>
        <w:t xml:space="preserve">**Public** — Information that is not confidential and can be made public without any implications for the organization. Such information is available to the public, employees, consultants and contractors without any authorization.</w:t>
      </w:r>
    </w:p>
    <w:p>
      <w:pPr>
        <w:spacing w:before="60" w:after="60"/>
      </w:pPr>
    </w:p>
    <w:p>
      <w:pPr>
        <w:spacing w:before="60" w:after="60"/>
      </w:pPr>
      <w:r>
        <w:rPr>
          <w:rFonts w:ascii="Arial" w:cs="Arial" w:eastAsia="Arial" w:hAnsi="Arial"/>
          <w:sz w:val="22"/>
          <w:szCs w:val="22"/>
        </w:rPr>
        <w:t xml:space="preserve">**Internal** — Information that is available to employees and authorized non-employees (consultants and contractors) possessing a need-to-know for business-related purposes.</w:t>
      </w:r>
    </w:p>
    <w:p>
      <w:pPr>
        <w:spacing w:before="60" w:after="60"/>
      </w:pPr>
    </w:p>
    <w:p>
      <w:pPr>
        <w:spacing w:before="60" w:after="60"/>
      </w:pPr>
      <w:r>
        <w:rPr>
          <w:rFonts w:ascii="Arial" w:cs="Arial" w:eastAsia="Arial" w:hAnsi="Arial"/>
          <w:sz w:val="22"/>
          <w:szCs w:val="22"/>
        </w:rPr>
        <w:t xml:space="preserve">**Confidential** — Information that is sensitive within PolicyLift and is intended for use only by specified groups of employees. A breach of such information could cause serious embarrassment and possibly undermine public trust in the organization.</w:t>
      </w:r>
    </w:p>
    <w:p>
      <w:pPr>
        <w:spacing w:before="60" w:after="60"/>
      </w:pPr>
    </w:p>
    <w:p>
      <w:pPr>
        <w:spacing w:before="60" w:after="60"/>
      </w:pPr>
      <w:r>
        <w:rPr>
          <w:rFonts w:ascii="Arial" w:cs="Arial" w:eastAsia="Arial" w:hAnsi="Arial"/>
          <w:sz w:val="22"/>
          <w:szCs w:val="22"/>
        </w:rPr>
        <w:t xml:space="preserve">**Restricted** — Information that is extremely sensitive and is intended for use by named individuals or positions only. A security breach would risk the health, safety, privacy, or reputation of an individual, members of the public, PolicyLift, and its Personnel or Customer organizations.</w:t>
      </w:r>
    </w:p>
    <w:p>
      <w:pPr>
        <w:spacing w:before="60" w:after="60"/>
      </w:pPr>
    </w:p>
    <w:p>
      <w:pPr>
        <w:spacing w:before="60" w:after="60"/>
      </w:pPr>
      <w:commentRangeStart w:id="9"/>
      <w:r>
        <w:rPr>
          <w:rFonts w:ascii="Arial" w:cs="Arial" w:eastAsia="Arial" w:hAnsi="Arial"/>
          <w:sz w:val="22"/>
          <w:szCs w:val="22"/>
        </w:rPr>
        <w:t xml:space="preserve">In some circumstances, confidential or restricted information might have to be disclosed to outsiders such as statutory auditors, external consultants, regulatory and legislative bodies, etc. The asset owner shall use their discretion with responsibility in getting NDAs signed from such outsiders. Even after such disclosure, the classification still remains "Confidential" or "Restricted" and does not become "Public."</w:t>
      </w:r>
      <w:commentRangeEnd w:id="9"/>
      <w:r>
        <w:rPr>
          <w:rStyle w:val="CommentReference"/>
        </w:rPr>
        <w:commentReference w:id="9"/>
      </w:r>
    </w:p>
    <w:p>
      <w:pPr>
        <w:spacing w:before="60" w:after="60"/>
      </w:pPr>
    </w:p>
    <w:p>
      <w:pPr>
        <w:pStyle w:val="Heading2"/>
        <w:spacing w:before="200" w:after="100"/>
      </w:pPr>
      <w:r>
        <w:rPr>
          <w:rFonts w:ascii="Arial" w:cs="Arial" w:eastAsia="Arial" w:hAnsi="Arial"/>
          <w:b/>
          <w:bCs/>
          <w:sz w:val="24"/>
          <w:szCs w:val="24"/>
        </w:rPr>
        <w:t xml:space="preserve">Public</w:t>
      </w:r>
    </w:p>
    <w:p>
      <w:pPr>
        <w:spacing w:before="60" w:after="60"/>
      </w:pPr>
    </w:p>
    <w:p>
      <w:pPr>
        <w:spacing w:before="60" w:after="60"/>
      </w:pPr>
      <w:r>
        <w:rPr>
          <w:rFonts w:ascii="Arial" w:cs="Arial" w:eastAsia="Arial" w:hAnsi="Arial"/>
          <w:sz w:val="22"/>
          <w:szCs w:val="22"/>
        </w:rPr>
        <w:t xml:space="preserve">### Risk Impact Consideration</w:t>
      </w:r>
    </w:p>
    <w:p>
      <w:pPr>
        <w:spacing w:before="60" w:after="60"/>
      </w:pPr>
    </w:p>
    <w:p>
      <w:pPr>
        <w:pStyle w:val="ListParagraph"/>
        <w:numPr>
          <w:ilvl w:val="0"/>
          <w:numId w:val="3"/>
        </w:numPr>
        <w:spacing w:before="40" w:after="40"/>
      </w:pPr>
      <w:r>
        <w:rPr>
          <w:rFonts w:ascii="Arial" w:cs="Arial" w:eastAsia="Arial" w:hAnsi="Arial"/>
          <w:sz w:val="22"/>
          <w:szCs w:val="22"/>
        </w:rPr>
        <w:t xml:space="preserve">No impact</w:t>
      </w:r>
    </w:p>
    <w:p>
      <w:pPr>
        <w:spacing w:before="60" w:after="60"/>
      </w:pPr>
    </w:p>
    <w:p>
      <w:pPr>
        <w:pStyle w:val="ListParagraph"/>
        <w:numPr>
          <w:ilvl w:val="0"/>
          <w:numId w:val="3"/>
        </w:numPr>
        <w:spacing w:before="40" w:after="40"/>
      </w:pPr>
      <w:r>
        <w:rPr>
          <w:rFonts w:ascii="Arial" w:cs="Arial" w:eastAsia="Arial" w:hAnsi="Arial"/>
          <w:sz w:val="22"/>
          <w:szCs w:val="22"/>
        </w:rPr>
        <w:t xml:space="preserve">Minimal inconvenience if not available</w:t>
      </w:r>
    </w:p>
    <w:p>
      <w:pPr>
        <w:spacing w:before="60" w:after="60"/>
      </w:pPr>
    </w:p>
    <w:p>
      <w:pPr>
        <w:spacing w:before="60" w:after="60"/>
      </w:pPr>
    </w:p>
    <w:p>
      <w:pPr>
        <w:spacing w:before="60" w:after="60"/>
      </w:pPr>
      <w:r>
        <w:rPr>
          <w:rFonts w:ascii="Arial" w:cs="Arial" w:eastAsia="Arial" w:hAnsi="Arial"/>
          <w:sz w:val="22"/>
          <w:szCs w:val="22"/>
        </w:rPr>
        <w:t xml:space="preserve">Public Examples</w:t>
      </w:r>
    </w:p>
    <w:p>
      <w:pPr>
        <w:spacing w:before="60" w:after="60"/>
      </w:pPr>
    </w:p>
    <w:p>
      <w:pPr>
        <w:spacing w:before="60" w:after="60"/>
      </w:pPr>
    </w:p>
    <w:p>
      <w:pPr>
        <w:spacing w:before="60" w:after="60"/>
      </w:pPr>
    </w:p>
    <w:p>
      <w:pPr>
        <w:spacing w:before="60" w:after="60"/>
      </w:pPr>
      <w:r>
        <w:rPr>
          <w:rFonts w:ascii="Arial" w:cs="Arial" w:eastAsia="Arial" w:hAnsi="Arial"/>
          <w:sz w:val="22"/>
          <w:szCs w:val="22"/>
        </w:rPr>
        <w:t xml:space="preserve">An example has been provided. Please fill out this section with your own content.</w:t>
      </w:r>
    </w:p>
    <w:p>
      <w:pPr>
        <w:spacing w:before="60" w:after="60"/>
      </w:pPr>
    </w:p>
    <w:p>
      <w:pPr>
        <w:spacing w:before="60" w:after="60"/>
      </w:pPr>
      <w:r>
        <w:rPr>
          <w:rFonts w:ascii="Arial" w:cs="Arial" w:eastAsia="Arial" w:hAnsi="Arial"/>
          <w:sz w:val="22"/>
          <w:szCs w:val="22"/>
        </w:rPr>
        <w:t xml:space="preserve">### Examples (Not Exhaustive)</w:t>
      </w:r>
    </w:p>
    <w:p>
      <w:pPr>
        <w:spacing w:before="60" w:after="60"/>
      </w:pPr>
    </w:p>
    <w:p>
      <w:pPr>
        <w:pStyle w:val="ListParagraph"/>
        <w:numPr>
          <w:ilvl w:val="0"/>
          <w:numId w:val="3"/>
        </w:numPr>
        <w:spacing w:before="40" w:after="40"/>
      </w:pPr>
      <w:r>
        <w:rPr>
          <w:rFonts w:ascii="Arial" w:cs="Arial" w:eastAsia="Arial" w:hAnsi="Arial"/>
          <w:sz w:val="22"/>
          <w:szCs w:val="22"/>
        </w:rPr>
        <w:t xml:space="preserve">Press Releases</w:t>
      </w:r>
    </w:p>
    <w:p>
      <w:pPr>
        <w:spacing w:before="60" w:after="60"/>
      </w:pPr>
    </w:p>
    <w:p>
      <w:pPr>
        <w:pStyle w:val="ListParagraph"/>
        <w:numPr>
          <w:ilvl w:val="0"/>
          <w:numId w:val="3"/>
        </w:numPr>
        <w:spacing w:before="40" w:after="40"/>
      </w:pPr>
      <w:r>
        <w:rPr>
          <w:rFonts w:ascii="Arial" w:cs="Arial" w:eastAsia="Arial" w:hAnsi="Arial"/>
          <w:sz w:val="22"/>
          <w:szCs w:val="22"/>
        </w:rPr>
        <w:t xml:space="preserve">Public Website Material</w:t>
      </w:r>
    </w:p>
    <w:p>
      <w:pPr>
        <w:spacing w:before="60" w:after="60"/>
      </w:pPr>
    </w:p>
    <w:p>
      <w:pPr>
        <w:pStyle w:val="ListParagraph"/>
        <w:numPr>
          <w:ilvl w:val="0"/>
          <w:numId w:val="3"/>
        </w:numPr>
        <w:spacing w:before="40" w:after="40"/>
      </w:pPr>
      <w:r>
        <w:rPr>
          <w:rFonts w:ascii="Arial" w:cs="Arial" w:eastAsia="Arial" w:hAnsi="Arial"/>
          <w:sz w:val="22"/>
          <w:szCs w:val="22"/>
        </w:rPr>
        <w:t xml:space="preserve">Public Financial Filings</w:t>
      </w:r>
    </w:p>
    <w:p>
      <w:pPr>
        <w:spacing w:before="60" w:after="60"/>
      </w:pPr>
    </w:p>
    <w:p>
      <w:pPr>
        <w:pStyle w:val="ListParagraph"/>
        <w:numPr>
          <w:ilvl w:val="0"/>
          <w:numId w:val="3"/>
        </w:numPr>
        <w:spacing w:before="40" w:after="40"/>
      </w:pPr>
      <w:r>
        <w:rPr>
          <w:rFonts w:ascii="Arial" w:cs="Arial" w:eastAsia="Arial" w:hAnsi="Arial"/>
          <w:sz w:val="22"/>
          <w:szCs w:val="22"/>
        </w:rPr>
        <w:t xml:space="preserve">Product Brochures</w:t>
      </w:r>
    </w:p>
    <w:p>
      <w:pPr>
        <w:spacing w:before="60" w:after="60"/>
      </w:pPr>
    </w:p>
    <w:p>
      <w:pPr>
        <w:pStyle w:val="ListParagraph"/>
        <w:numPr>
          <w:ilvl w:val="0"/>
          <w:numId w:val="3"/>
        </w:numPr>
        <w:spacing w:before="40" w:after="40"/>
      </w:pPr>
      <w:r>
        <w:rPr>
          <w:rFonts w:ascii="Arial" w:cs="Arial" w:eastAsia="Arial" w:hAnsi="Arial"/>
          <w:sz w:val="22"/>
          <w:szCs w:val="22"/>
        </w:rPr>
        <w:t xml:space="preserve">Published Reports</w:t>
      </w:r>
    </w:p>
    <w:p>
      <w:pPr>
        <w:spacing w:before="60" w:after="60"/>
      </w:pPr>
    </w:p>
    <w:p>
      <w:pPr>
        <w:pStyle w:val="ListParagraph"/>
        <w:numPr>
          <w:ilvl w:val="0"/>
          <w:numId w:val="3"/>
        </w:numPr>
        <w:spacing w:before="40" w:after="40"/>
      </w:pPr>
      <w:r>
        <w:rPr>
          <w:rFonts w:ascii="Arial" w:cs="Arial" w:eastAsia="Arial" w:hAnsi="Arial"/>
          <w:sz w:val="22"/>
          <w:szCs w:val="22"/>
        </w:rPr>
        <w:t xml:space="preserve">Marketing Materials</w:t>
      </w:r>
    </w:p>
    <w:p>
      <w:pPr>
        <w:spacing w:before="60" w:after="60"/>
      </w:pPr>
    </w:p>
    <w:p>
      <w:pPr>
        <w:pStyle w:val="ListParagraph"/>
        <w:numPr>
          <w:ilvl w:val="0"/>
          <w:numId w:val="3"/>
        </w:numPr>
        <w:spacing w:before="40" w:after="40"/>
      </w:pPr>
      <w:r>
        <w:rPr>
          <w:rFonts w:ascii="Arial" w:cs="Arial" w:eastAsia="Arial" w:hAnsi="Arial"/>
          <w:sz w:val="22"/>
          <w:szCs w:val="22"/>
        </w:rPr>
        <w:t xml:space="preserve">Job Postings</w:t>
      </w:r>
    </w:p>
    <w:p>
      <w:pPr>
        <w:spacing w:before="60" w:after="60"/>
      </w:pPr>
    </w:p>
    <w:p>
      <w:pPr>
        <w:pStyle w:val="ListParagraph"/>
        <w:numPr>
          <w:ilvl w:val="0"/>
          <w:numId w:val="3"/>
        </w:numPr>
        <w:spacing w:before="40" w:after="40"/>
      </w:pPr>
      <w:r>
        <w:rPr>
          <w:rFonts w:ascii="Arial" w:cs="Arial" w:eastAsia="Arial" w:hAnsi="Arial"/>
          <w:sz w:val="22"/>
          <w:szCs w:val="22"/>
        </w:rPr>
        <w:t xml:space="preserve">External Presentations</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Internal</w:t>
      </w:r>
    </w:p>
    <w:p>
      <w:pPr>
        <w:spacing w:before="60" w:after="60"/>
      </w:pPr>
    </w:p>
    <w:p>
      <w:pPr>
        <w:spacing w:before="60" w:after="60"/>
      </w:pPr>
      <w:r>
        <w:rPr>
          <w:rFonts w:ascii="Arial" w:cs="Arial" w:eastAsia="Arial" w:hAnsi="Arial"/>
          <w:sz w:val="22"/>
          <w:szCs w:val="22"/>
        </w:rPr>
        <w:t xml:space="preserve">### Risk Impact Consideration</w:t>
      </w:r>
    </w:p>
    <w:p>
      <w:pPr>
        <w:spacing w:before="60" w:after="60"/>
      </w:pPr>
    </w:p>
    <w:p>
      <w:pPr>
        <w:pStyle w:val="ListParagraph"/>
        <w:numPr>
          <w:ilvl w:val="0"/>
          <w:numId w:val="3"/>
        </w:numPr>
        <w:spacing w:before="40" w:after="40"/>
      </w:pPr>
      <w:r>
        <w:rPr>
          <w:rFonts w:ascii="Arial" w:cs="Arial" w:eastAsia="Arial" w:hAnsi="Arial"/>
          <w:sz w:val="22"/>
          <w:szCs w:val="22"/>
        </w:rPr>
        <w:t xml:space="preserve">Disruption to the business if not available</w:t>
      </w:r>
    </w:p>
    <w:p>
      <w:pPr>
        <w:spacing w:before="60" w:after="60"/>
      </w:pPr>
    </w:p>
    <w:p>
      <w:pPr>
        <w:pStyle w:val="ListParagraph"/>
        <w:numPr>
          <w:ilvl w:val="0"/>
          <w:numId w:val="3"/>
        </w:numPr>
        <w:spacing w:before="40" w:after="40"/>
      </w:pPr>
      <w:r>
        <w:rPr>
          <w:rFonts w:ascii="Arial" w:cs="Arial" w:eastAsia="Arial" w:hAnsi="Arial"/>
          <w:sz w:val="22"/>
          <w:szCs w:val="22"/>
        </w:rPr>
        <w:t xml:space="preserve">Low degree of risk if corrupted or modified</w:t>
      </w:r>
    </w:p>
    <w:p>
      <w:pPr>
        <w:spacing w:before="60" w:after="60"/>
      </w:pPr>
    </w:p>
    <w:p>
      <w:pPr>
        <w:spacing w:before="60" w:after="60"/>
      </w:pPr>
    </w:p>
    <w:p>
      <w:pPr>
        <w:spacing w:before="60" w:after="60"/>
      </w:pPr>
      <w:r>
        <w:rPr>
          <w:rFonts w:ascii="Arial" w:cs="Arial" w:eastAsia="Arial" w:hAnsi="Arial"/>
          <w:sz w:val="22"/>
          <w:szCs w:val="22"/>
        </w:rPr>
        <w:t xml:space="preserve">Internal Examples</w:t>
      </w:r>
    </w:p>
    <w:p>
      <w:pPr>
        <w:spacing w:before="60" w:after="60"/>
      </w:pPr>
    </w:p>
    <w:p>
      <w:pPr>
        <w:spacing w:before="60" w:after="60"/>
      </w:pPr>
    </w:p>
    <w:p>
      <w:pPr>
        <w:spacing w:before="60" w:after="60"/>
      </w:pPr>
    </w:p>
    <w:p>
      <w:pPr>
        <w:spacing w:before="60" w:after="60"/>
      </w:pPr>
      <w:r>
        <w:rPr>
          <w:rFonts w:ascii="Arial" w:cs="Arial" w:eastAsia="Arial" w:hAnsi="Arial"/>
          <w:sz w:val="22"/>
          <w:szCs w:val="22"/>
        </w:rPr>
        <w:t xml:space="preserve">An example has been provided. Please fill out this section with your own content.</w:t>
      </w:r>
    </w:p>
    <w:p>
      <w:pPr>
        <w:spacing w:before="60" w:after="60"/>
      </w:pPr>
    </w:p>
    <w:p>
      <w:pPr>
        <w:spacing w:before="60" w:after="60"/>
      </w:pPr>
      <w:r>
        <w:rPr>
          <w:rFonts w:ascii="Arial" w:cs="Arial" w:eastAsia="Arial" w:hAnsi="Arial"/>
          <w:sz w:val="22"/>
          <w:szCs w:val="22"/>
        </w:rPr>
        <w:t xml:space="preserve">### Examples (Not Exhaustive)</w:t>
      </w:r>
    </w:p>
    <w:p>
      <w:pPr>
        <w:spacing w:before="60" w:after="60"/>
      </w:pPr>
    </w:p>
    <w:p>
      <w:pPr>
        <w:pStyle w:val="ListParagraph"/>
        <w:numPr>
          <w:ilvl w:val="0"/>
          <w:numId w:val="3"/>
        </w:numPr>
        <w:spacing w:before="40" w:after="40"/>
      </w:pPr>
      <w:r>
        <w:rPr>
          <w:rFonts w:ascii="Arial" w:cs="Arial" w:eastAsia="Arial" w:hAnsi="Arial"/>
          <w:sz w:val="22"/>
          <w:szCs w:val="22"/>
        </w:rPr>
        <w:t xml:space="preserve">Policies, Standards, Processes, Playbooks, Procedures, and Frameworks</w:t>
      </w:r>
    </w:p>
    <w:p>
      <w:pPr>
        <w:spacing w:before="60" w:after="60"/>
      </w:pPr>
    </w:p>
    <w:p>
      <w:pPr>
        <w:pStyle w:val="ListParagraph"/>
        <w:numPr>
          <w:ilvl w:val="0"/>
          <w:numId w:val="3"/>
        </w:numPr>
        <w:spacing w:before="40" w:after="40"/>
      </w:pPr>
      <w:r>
        <w:rPr>
          <w:rFonts w:ascii="Arial" w:cs="Arial" w:eastAsia="Arial" w:hAnsi="Arial"/>
          <w:sz w:val="22"/>
          <w:szCs w:val="22"/>
        </w:rPr>
        <w:t xml:space="preserve">Office Memos and Internal Staff-Wide Communications</w:t>
      </w:r>
    </w:p>
    <w:p>
      <w:pPr>
        <w:spacing w:before="60" w:after="60"/>
      </w:pPr>
    </w:p>
    <w:p>
      <w:pPr>
        <w:pStyle w:val="ListParagraph"/>
        <w:numPr>
          <w:ilvl w:val="0"/>
          <w:numId w:val="3"/>
        </w:numPr>
        <w:spacing w:before="40" w:after="40"/>
      </w:pPr>
      <w:r>
        <w:rPr>
          <w:rFonts w:ascii="Arial" w:cs="Arial" w:eastAsia="Arial" w:hAnsi="Arial"/>
          <w:sz w:val="22"/>
          <w:szCs w:val="22"/>
        </w:rPr>
        <w:t xml:space="preserve">Planning Documents</w:t>
      </w:r>
    </w:p>
    <w:p>
      <w:pPr>
        <w:spacing w:before="60" w:after="60"/>
      </w:pPr>
    </w:p>
    <w:p>
      <w:pPr>
        <w:pStyle w:val="ListParagraph"/>
        <w:numPr>
          <w:ilvl w:val="0"/>
          <w:numId w:val="3"/>
        </w:numPr>
        <w:spacing w:before="40" w:after="40"/>
      </w:pPr>
      <w:r>
        <w:rPr>
          <w:rFonts w:ascii="Arial" w:cs="Arial" w:eastAsia="Arial" w:hAnsi="Arial"/>
          <w:sz w:val="22"/>
          <w:szCs w:val="22"/>
        </w:rPr>
        <w:t xml:space="preserve">Project Status Reports</w:t>
      </w:r>
    </w:p>
    <w:p>
      <w:pPr>
        <w:spacing w:before="60" w:after="60"/>
      </w:pPr>
    </w:p>
    <w:p>
      <w:pPr>
        <w:pStyle w:val="ListParagraph"/>
        <w:numPr>
          <w:ilvl w:val="0"/>
          <w:numId w:val="3"/>
        </w:numPr>
        <w:spacing w:before="40" w:after="40"/>
      </w:pPr>
      <w:r>
        <w:rPr>
          <w:rFonts w:ascii="Arial" w:cs="Arial" w:eastAsia="Arial" w:hAnsi="Arial"/>
          <w:sz w:val="22"/>
          <w:szCs w:val="22"/>
        </w:rPr>
        <w:t xml:space="preserve">Meeting Agendas and Minutes</w:t>
      </w:r>
    </w:p>
    <w:p>
      <w:pPr>
        <w:spacing w:before="60" w:after="60"/>
      </w:pPr>
    </w:p>
    <w:p>
      <w:pPr>
        <w:pStyle w:val="ListParagraph"/>
        <w:numPr>
          <w:ilvl w:val="0"/>
          <w:numId w:val="3"/>
        </w:numPr>
        <w:spacing w:before="40" w:after="40"/>
      </w:pPr>
      <w:r>
        <w:rPr>
          <w:rFonts w:ascii="Arial" w:cs="Arial" w:eastAsia="Arial" w:hAnsi="Arial"/>
          <w:sz w:val="22"/>
          <w:szCs w:val="22"/>
        </w:rPr>
        <w:t xml:space="preserve">Documents Containing Work Contact Information</w:t>
      </w:r>
    </w:p>
    <w:p>
      <w:pPr>
        <w:spacing w:before="60" w:after="60"/>
      </w:pPr>
    </w:p>
    <w:p>
      <w:pPr>
        <w:pStyle w:val="ListParagraph"/>
        <w:numPr>
          <w:ilvl w:val="0"/>
          <w:numId w:val="3"/>
        </w:numPr>
        <w:spacing w:before="40" w:after="40"/>
      </w:pPr>
      <w:r>
        <w:rPr>
          <w:rFonts w:ascii="Arial" w:cs="Arial" w:eastAsia="Arial" w:hAnsi="Arial"/>
          <w:sz w:val="22"/>
          <w:szCs w:val="22"/>
        </w:rPr>
        <w:t xml:space="preserve">Strategic Planning Documents</w:t>
      </w:r>
    </w:p>
    <w:p>
      <w:pPr>
        <w:spacing w:before="60" w:after="60"/>
      </w:pPr>
    </w:p>
    <w:p>
      <w:pPr>
        <w:pStyle w:val="ListParagraph"/>
        <w:numPr>
          <w:ilvl w:val="0"/>
          <w:numId w:val="3"/>
        </w:numPr>
        <w:spacing w:before="40" w:after="40"/>
      </w:pPr>
      <w:r>
        <w:rPr>
          <w:rFonts w:ascii="Arial" w:cs="Arial" w:eastAsia="Arial" w:hAnsi="Arial"/>
          <w:sz w:val="22"/>
          <w:szCs w:val="22"/>
        </w:rPr>
        <w:t xml:space="preserve">Townhall Materials</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Confidential</w:t>
      </w:r>
    </w:p>
    <w:p>
      <w:pPr>
        <w:spacing w:before="60" w:after="60"/>
      </w:pPr>
    </w:p>
    <w:p>
      <w:pPr>
        <w:spacing w:before="60" w:after="60"/>
      </w:pPr>
      <w:r>
        <w:rPr>
          <w:rFonts w:ascii="Arial" w:cs="Arial" w:eastAsia="Arial" w:hAnsi="Arial"/>
          <w:sz w:val="22"/>
          <w:szCs w:val="22"/>
        </w:rPr>
        <w:t xml:space="preserve">### Risk Impact Consideration</w:t>
      </w:r>
    </w:p>
    <w:p>
      <w:pPr>
        <w:spacing w:before="60" w:after="60"/>
      </w:pPr>
    </w:p>
    <w:p>
      <w:pPr>
        <w:pStyle w:val="ListParagraph"/>
        <w:numPr>
          <w:ilvl w:val="0"/>
          <w:numId w:val="3"/>
        </w:numPr>
        <w:spacing w:before="40" w:after="40"/>
      </w:pPr>
      <w:r>
        <w:rPr>
          <w:rFonts w:ascii="Arial" w:cs="Arial" w:eastAsia="Arial" w:hAnsi="Arial"/>
          <w:sz w:val="22"/>
          <w:szCs w:val="22"/>
        </w:rPr>
        <w:t xml:space="preserve">Loss of reputation or competitive advantage</w:t>
      </w:r>
    </w:p>
    <w:p>
      <w:pPr>
        <w:spacing w:before="60" w:after="60"/>
      </w:pPr>
    </w:p>
    <w:p>
      <w:pPr>
        <w:pStyle w:val="ListParagraph"/>
        <w:numPr>
          <w:ilvl w:val="0"/>
          <w:numId w:val="3"/>
        </w:numPr>
        <w:spacing w:before="40" w:after="40"/>
      </w:pPr>
      <w:r>
        <w:rPr>
          <w:rFonts w:ascii="Arial" w:cs="Arial" w:eastAsia="Arial" w:hAnsi="Arial"/>
          <w:sz w:val="22"/>
          <w:szCs w:val="22"/>
        </w:rPr>
        <w:t xml:space="preserve">Loss of confidence in the Partnership</w:t>
      </w:r>
    </w:p>
    <w:p>
      <w:pPr>
        <w:spacing w:before="60" w:after="60"/>
      </w:pPr>
    </w:p>
    <w:p>
      <w:pPr>
        <w:pStyle w:val="ListParagraph"/>
        <w:numPr>
          <w:ilvl w:val="0"/>
          <w:numId w:val="3"/>
        </w:numPr>
        <w:spacing w:before="40" w:after="40"/>
      </w:pPr>
      <w:r>
        <w:rPr>
          <w:rFonts w:ascii="Arial" w:cs="Arial" w:eastAsia="Arial" w:hAnsi="Arial"/>
          <w:sz w:val="22"/>
          <w:szCs w:val="22"/>
        </w:rPr>
        <w:t xml:space="preserve">Loss of personal or individual privacy</w:t>
      </w:r>
    </w:p>
    <w:p>
      <w:pPr>
        <w:spacing w:before="60" w:after="60"/>
      </w:pPr>
    </w:p>
    <w:p>
      <w:pPr>
        <w:pStyle w:val="ListParagraph"/>
        <w:numPr>
          <w:ilvl w:val="0"/>
          <w:numId w:val="3"/>
        </w:numPr>
        <w:spacing w:before="40" w:after="40"/>
      </w:pPr>
      <w:r>
        <w:rPr>
          <w:rFonts w:ascii="Arial" w:cs="Arial" w:eastAsia="Arial" w:hAnsi="Arial"/>
          <w:sz w:val="22"/>
          <w:szCs w:val="22"/>
        </w:rPr>
        <w:t xml:space="preserve">Loss of intellectual property</w:t>
      </w:r>
    </w:p>
    <w:p>
      <w:pPr>
        <w:spacing w:before="60" w:after="60"/>
      </w:pPr>
    </w:p>
    <w:p>
      <w:pPr>
        <w:pStyle w:val="ListParagraph"/>
        <w:numPr>
          <w:ilvl w:val="0"/>
          <w:numId w:val="3"/>
        </w:numPr>
        <w:spacing w:before="40" w:after="40"/>
      </w:pPr>
      <w:r>
        <w:rPr>
          <w:rFonts w:ascii="Arial" w:cs="Arial" w:eastAsia="Arial" w:hAnsi="Arial"/>
          <w:sz w:val="22"/>
          <w:szCs w:val="22"/>
        </w:rPr>
        <w:t xml:space="preserve">Loss of opportunity</w:t>
      </w:r>
    </w:p>
    <w:p>
      <w:pPr>
        <w:spacing w:before="60" w:after="60"/>
      </w:pPr>
    </w:p>
    <w:p>
      <w:pPr>
        <w:pStyle w:val="ListParagraph"/>
        <w:numPr>
          <w:ilvl w:val="0"/>
          <w:numId w:val="3"/>
        </w:numPr>
        <w:spacing w:before="40" w:after="40"/>
      </w:pPr>
      <w:r>
        <w:rPr>
          <w:rFonts w:ascii="Arial" w:cs="Arial" w:eastAsia="Arial" w:hAnsi="Arial"/>
          <w:sz w:val="22"/>
          <w:szCs w:val="22"/>
        </w:rPr>
        <w:t xml:space="preserve">Financial loss</w:t>
      </w:r>
    </w:p>
    <w:p>
      <w:pPr>
        <w:spacing w:before="60" w:after="60"/>
      </w:pPr>
    </w:p>
    <w:p>
      <w:pPr>
        <w:pStyle w:val="ListParagraph"/>
        <w:numPr>
          <w:ilvl w:val="0"/>
          <w:numId w:val="3"/>
        </w:numPr>
        <w:spacing w:before="40" w:after="40"/>
      </w:pPr>
      <w:r>
        <w:rPr>
          <w:rFonts w:ascii="Arial" w:cs="Arial" w:eastAsia="Arial" w:hAnsi="Arial"/>
          <w:sz w:val="22"/>
          <w:szCs w:val="22"/>
        </w:rPr>
        <w:t xml:space="preserve">High degree of risk if corrupted or modified</w:t>
      </w:r>
    </w:p>
    <w:p>
      <w:pPr>
        <w:spacing w:before="60" w:after="60"/>
      </w:pPr>
    </w:p>
    <w:p>
      <w:pPr>
        <w:pStyle w:val="ListParagraph"/>
        <w:numPr>
          <w:ilvl w:val="0"/>
          <w:numId w:val="3"/>
        </w:numPr>
        <w:spacing w:before="40" w:after="40"/>
      </w:pPr>
      <w:r>
        <w:rPr>
          <w:rFonts w:ascii="Arial" w:cs="Arial" w:eastAsia="Arial" w:hAnsi="Arial"/>
          <w:sz w:val="22"/>
          <w:szCs w:val="22"/>
        </w:rPr>
        <w:t xml:space="preserve">Compromise of Board deliberations</w:t>
      </w:r>
    </w:p>
    <w:p>
      <w:pPr>
        <w:spacing w:before="60" w:after="60"/>
      </w:pPr>
    </w:p>
    <w:p>
      <w:pPr>
        <w:pStyle w:val="ListParagraph"/>
        <w:numPr>
          <w:ilvl w:val="0"/>
          <w:numId w:val="3"/>
        </w:numPr>
        <w:spacing w:before="40" w:after="40"/>
      </w:pPr>
      <w:r>
        <w:rPr>
          <w:rFonts w:ascii="Arial" w:cs="Arial" w:eastAsia="Arial" w:hAnsi="Arial"/>
          <w:sz w:val="22"/>
          <w:szCs w:val="22"/>
        </w:rPr>
        <w:t xml:space="preserve">Privacy breach</w:t>
      </w:r>
    </w:p>
    <w:p>
      <w:pPr>
        <w:spacing w:before="60" w:after="60"/>
      </w:pPr>
    </w:p>
    <w:p>
      <w:pPr>
        <w:pStyle w:val="ListParagraph"/>
        <w:numPr>
          <w:ilvl w:val="0"/>
          <w:numId w:val="3"/>
        </w:numPr>
        <w:spacing w:before="40" w:after="40"/>
      </w:pPr>
      <w:r>
        <w:rPr>
          <w:rFonts w:ascii="Arial" w:cs="Arial" w:eastAsia="Arial" w:hAnsi="Arial"/>
          <w:sz w:val="22"/>
          <w:szCs w:val="22"/>
        </w:rPr>
        <w:t xml:space="preserve">Destruction of partnerships and relationships</w:t>
      </w:r>
    </w:p>
    <w:p>
      <w:pPr>
        <w:spacing w:before="60" w:after="60"/>
      </w:pPr>
    </w:p>
    <w:p>
      <w:pPr>
        <w:spacing w:before="60" w:after="60"/>
      </w:pPr>
    </w:p>
    <w:p>
      <w:pPr>
        <w:spacing w:before="60" w:after="60"/>
      </w:pPr>
      <w:r>
        <w:rPr>
          <w:rFonts w:ascii="Arial" w:cs="Arial" w:eastAsia="Arial" w:hAnsi="Arial"/>
          <w:sz w:val="22"/>
          <w:szCs w:val="22"/>
        </w:rPr>
        <w:t xml:space="preserve">Confidential Examples</w:t>
      </w:r>
    </w:p>
    <w:p>
      <w:pPr>
        <w:spacing w:before="60" w:after="60"/>
      </w:pPr>
    </w:p>
    <w:p>
      <w:pPr>
        <w:spacing w:before="60" w:after="60"/>
      </w:pPr>
    </w:p>
    <w:p>
      <w:pPr>
        <w:spacing w:before="60" w:after="60"/>
      </w:pPr>
    </w:p>
    <w:p>
      <w:pPr>
        <w:spacing w:before="60" w:after="60"/>
      </w:pPr>
      <w:r>
        <w:rPr>
          <w:rFonts w:ascii="Arial" w:cs="Arial" w:eastAsia="Arial" w:hAnsi="Arial"/>
          <w:sz w:val="22"/>
          <w:szCs w:val="22"/>
        </w:rPr>
        <w:t xml:space="preserve">An example has been provided. Please fill out this section with your own content.</w:t>
      </w:r>
    </w:p>
    <w:p>
      <w:pPr>
        <w:spacing w:before="60" w:after="60"/>
      </w:pPr>
    </w:p>
    <w:p>
      <w:pPr>
        <w:spacing w:before="60" w:after="60"/>
      </w:pPr>
      <w:r>
        <w:rPr>
          <w:rFonts w:ascii="Arial" w:cs="Arial" w:eastAsia="Arial" w:hAnsi="Arial"/>
          <w:sz w:val="22"/>
          <w:szCs w:val="22"/>
        </w:rPr>
        <w:t xml:space="preserve">### Examples (Not Exhaustive)</w:t>
      </w:r>
    </w:p>
    <w:p>
      <w:pPr>
        <w:spacing w:before="60" w:after="60"/>
      </w:pPr>
    </w:p>
    <w:p>
      <w:pPr>
        <w:pStyle w:val="ListParagraph"/>
        <w:numPr>
          <w:ilvl w:val="0"/>
          <w:numId w:val="3"/>
        </w:numPr>
        <w:spacing w:before="40" w:after="40"/>
      </w:pPr>
      <w:r>
        <w:rPr>
          <w:rFonts w:ascii="Arial" w:cs="Arial" w:eastAsia="Arial" w:hAnsi="Arial"/>
          <w:sz w:val="22"/>
          <w:szCs w:val="22"/>
        </w:rPr>
        <w:t xml:space="preserve">Personnel Files</w:t>
      </w:r>
    </w:p>
    <w:p>
      <w:pPr>
        <w:spacing w:before="60" w:after="60"/>
      </w:pPr>
    </w:p>
    <w:p>
      <w:pPr>
        <w:pStyle w:val="ListParagraph"/>
        <w:numPr>
          <w:ilvl w:val="0"/>
          <w:numId w:val="3"/>
        </w:numPr>
        <w:spacing w:before="40" w:after="40"/>
      </w:pPr>
      <w:r>
        <w:rPr>
          <w:rFonts w:ascii="Arial" w:cs="Arial" w:eastAsia="Arial" w:hAnsi="Arial"/>
          <w:sz w:val="22"/>
          <w:szCs w:val="22"/>
        </w:rPr>
        <w:t xml:space="preserve">PolicyLift Banking Information</w:t>
      </w:r>
    </w:p>
    <w:p>
      <w:pPr>
        <w:spacing w:before="60" w:after="60"/>
      </w:pPr>
    </w:p>
    <w:p>
      <w:pPr>
        <w:pStyle w:val="ListParagraph"/>
        <w:numPr>
          <w:ilvl w:val="0"/>
          <w:numId w:val="3"/>
        </w:numPr>
        <w:spacing w:before="40" w:after="40"/>
      </w:pPr>
      <w:r>
        <w:rPr>
          <w:rFonts w:ascii="Arial" w:cs="Arial" w:eastAsia="Arial" w:hAnsi="Arial"/>
          <w:sz w:val="22"/>
          <w:szCs w:val="22"/>
        </w:rPr>
        <w:t xml:space="preserve">Contracts</w:t>
      </w:r>
    </w:p>
    <w:p>
      <w:pPr>
        <w:spacing w:before="60" w:after="60"/>
      </w:pPr>
    </w:p>
    <w:p>
      <w:pPr>
        <w:pStyle w:val="ListParagraph"/>
        <w:numPr>
          <w:ilvl w:val="0"/>
          <w:numId w:val="3"/>
        </w:numPr>
        <w:spacing w:before="40" w:after="40"/>
      </w:pPr>
      <w:r>
        <w:rPr>
          <w:rFonts w:ascii="Arial" w:cs="Arial" w:eastAsia="Arial" w:hAnsi="Arial"/>
          <w:sz w:val="22"/>
          <w:szCs w:val="22"/>
        </w:rPr>
        <w:t xml:space="preserve">Customer Data</w:t>
      </w:r>
    </w:p>
    <w:p>
      <w:pPr>
        <w:spacing w:before="60" w:after="60"/>
      </w:pPr>
    </w:p>
    <w:p>
      <w:pPr>
        <w:pStyle w:val="ListParagraph"/>
        <w:numPr>
          <w:ilvl w:val="0"/>
          <w:numId w:val="3"/>
        </w:numPr>
        <w:spacing w:before="40" w:after="40"/>
      </w:pPr>
      <w:r>
        <w:rPr>
          <w:rFonts w:ascii="Arial" w:cs="Arial" w:eastAsia="Arial" w:hAnsi="Arial"/>
          <w:sz w:val="22"/>
          <w:szCs w:val="22"/>
        </w:rPr>
        <w:t xml:space="preserve">Financial Reports</w:t>
      </w:r>
    </w:p>
    <w:p>
      <w:pPr>
        <w:spacing w:before="60" w:after="60"/>
      </w:pPr>
    </w:p>
    <w:p>
      <w:pPr>
        <w:pStyle w:val="ListParagraph"/>
        <w:numPr>
          <w:ilvl w:val="0"/>
          <w:numId w:val="3"/>
        </w:numPr>
        <w:spacing w:before="40" w:after="40"/>
      </w:pPr>
      <w:r>
        <w:rPr>
          <w:rFonts w:ascii="Arial" w:cs="Arial" w:eastAsia="Arial" w:hAnsi="Arial"/>
          <w:sz w:val="22"/>
          <w:szCs w:val="22"/>
        </w:rPr>
        <w:t xml:space="preserve">Executive Committee of the Board Deliberations and Supporting Documents</w:t>
      </w:r>
    </w:p>
    <w:p>
      <w:pPr>
        <w:spacing w:before="60" w:after="60"/>
      </w:pPr>
    </w:p>
    <w:p>
      <w:pPr>
        <w:pStyle w:val="ListParagraph"/>
        <w:numPr>
          <w:ilvl w:val="0"/>
          <w:numId w:val="3"/>
        </w:numPr>
        <w:spacing w:before="40" w:after="40"/>
      </w:pPr>
      <w:r>
        <w:rPr>
          <w:rFonts w:ascii="Arial" w:cs="Arial" w:eastAsia="Arial" w:hAnsi="Arial"/>
          <w:sz w:val="22"/>
          <w:szCs w:val="22"/>
        </w:rPr>
        <w:t xml:space="preserve">Other Committees of the Board</w:t>
      </w:r>
    </w:p>
    <w:p>
      <w:pPr>
        <w:spacing w:before="60" w:after="60"/>
      </w:pPr>
    </w:p>
    <w:p>
      <w:pPr>
        <w:pStyle w:val="ListParagraph"/>
        <w:numPr>
          <w:ilvl w:val="0"/>
          <w:numId w:val="3"/>
        </w:numPr>
        <w:spacing w:before="40" w:after="40"/>
      </w:pPr>
      <w:r>
        <w:rPr>
          <w:rFonts w:ascii="Arial" w:cs="Arial" w:eastAsia="Arial" w:hAnsi="Arial"/>
          <w:sz w:val="22"/>
          <w:szCs w:val="22"/>
        </w:rPr>
        <w:t xml:space="preserve">Partner Information Designated as Sensitive</w:t>
      </w:r>
    </w:p>
    <w:p>
      <w:pPr>
        <w:spacing w:before="60" w:after="60"/>
      </w:pPr>
    </w:p>
    <w:p>
      <w:pPr>
        <w:pStyle w:val="ListParagraph"/>
        <w:numPr>
          <w:ilvl w:val="0"/>
          <w:numId w:val="3"/>
        </w:numPr>
        <w:spacing w:before="40" w:after="40"/>
      </w:pPr>
      <w:r>
        <w:rPr>
          <w:rFonts w:ascii="Arial" w:cs="Arial" w:eastAsia="Arial" w:hAnsi="Arial"/>
          <w:sz w:val="22"/>
          <w:szCs w:val="22"/>
        </w:rPr>
        <w:t xml:space="preserve">Third-Party Business Information Submitted in Confidence</w:t>
      </w:r>
    </w:p>
    <w:p>
      <w:pPr>
        <w:spacing w:before="60" w:after="60"/>
      </w:pPr>
    </w:p>
    <w:p>
      <w:pPr>
        <w:pStyle w:val="ListParagraph"/>
        <w:numPr>
          <w:ilvl w:val="0"/>
          <w:numId w:val="3"/>
        </w:numPr>
        <w:spacing w:before="40" w:after="40"/>
      </w:pPr>
      <w:r>
        <w:rPr>
          <w:rFonts w:ascii="Arial" w:cs="Arial" w:eastAsia="Arial" w:hAnsi="Arial"/>
          <w:sz w:val="22"/>
          <w:szCs w:val="22"/>
        </w:rPr>
        <w:t xml:space="preserve">Compensation Information</w:t>
      </w:r>
    </w:p>
    <w:p>
      <w:pPr>
        <w:spacing w:before="60" w:after="60"/>
      </w:pPr>
    </w:p>
    <w:p>
      <w:pPr>
        <w:pStyle w:val="ListParagraph"/>
        <w:numPr>
          <w:ilvl w:val="0"/>
          <w:numId w:val="3"/>
        </w:numPr>
        <w:spacing w:before="40" w:after="40"/>
      </w:pPr>
      <w:r>
        <w:rPr>
          <w:rFonts w:ascii="Arial" w:cs="Arial" w:eastAsia="Arial" w:hAnsi="Arial"/>
          <w:sz w:val="22"/>
          <w:szCs w:val="22"/>
        </w:rPr>
        <w:t xml:space="preserve">Legal Advice</w:t>
      </w:r>
    </w:p>
    <w:p>
      <w:pPr>
        <w:spacing w:before="60" w:after="60"/>
      </w:pPr>
    </w:p>
    <w:p>
      <w:pPr>
        <w:pStyle w:val="ListParagraph"/>
        <w:numPr>
          <w:ilvl w:val="0"/>
          <w:numId w:val="3"/>
        </w:numPr>
        <w:spacing w:before="40" w:after="40"/>
      </w:pPr>
      <w:r>
        <w:rPr>
          <w:rFonts w:ascii="Arial" w:cs="Arial" w:eastAsia="Arial" w:hAnsi="Arial"/>
          <w:sz w:val="22"/>
          <w:szCs w:val="22"/>
        </w:rPr>
        <w:t xml:space="preserve">Electronic Signature Files</w:t>
      </w:r>
    </w:p>
    <w:p>
      <w:pPr>
        <w:spacing w:before="60" w:after="60"/>
      </w:pPr>
    </w:p>
    <w:p>
      <w:pPr>
        <w:pStyle w:val="ListParagraph"/>
        <w:numPr>
          <w:ilvl w:val="0"/>
          <w:numId w:val="3"/>
        </w:numPr>
        <w:spacing w:before="40" w:after="40"/>
      </w:pPr>
      <w:r>
        <w:rPr>
          <w:rFonts w:ascii="Arial" w:cs="Arial" w:eastAsia="Arial" w:hAnsi="Arial"/>
          <w:sz w:val="22"/>
          <w:szCs w:val="22"/>
        </w:rPr>
        <w:t xml:space="preserve">RFP and/or Funding Applications That Are Not Awarded</w:t>
      </w:r>
    </w:p>
    <w:p>
      <w:pPr>
        <w:spacing w:before="60" w:after="60"/>
      </w:pPr>
    </w:p>
    <w:p>
      <w:pPr>
        <w:pStyle w:val="ListParagraph"/>
        <w:numPr>
          <w:ilvl w:val="0"/>
          <w:numId w:val="3"/>
        </w:numPr>
        <w:spacing w:before="40" w:after="40"/>
      </w:pPr>
      <w:r>
        <w:rPr>
          <w:rFonts w:ascii="Arial" w:cs="Arial" w:eastAsia="Arial" w:hAnsi="Arial"/>
          <w:sz w:val="22"/>
          <w:szCs w:val="22"/>
        </w:rPr>
        <w:t xml:space="preserve">Voice Recordings of Meetings</w:t>
      </w:r>
    </w:p>
    <w:p>
      <w:pPr>
        <w:spacing w:before="60" w:after="60"/>
      </w:pPr>
    </w:p>
    <w:p>
      <w:pPr>
        <w:pStyle w:val="ListParagraph"/>
        <w:numPr>
          <w:ilvl w:val="0"/>
          <w:numId w:val="3"/>
        </w:numPr>
        <w:spacing w:before="40" w:after="40"/>
      </w:pPr>
      <w:r>
        <w:rPr>
          <w:rFonts w:ascii="Arial" w:cs="Arial" w:eastAsia="Arial" w:hAnsi="Arial"/>
          <w:sz w:val="22"/>
          <w:szCs w:val="22"/>
        </w:rPr>
        <w:t xml:space="preserve">IP Addresses</w:t>
      </w:r>
    </w:p>
    <w:p>
      <w:pPr>
        <w:spacing w:before="60" w:after="60"/>
      </w:pPr>
    </w:p>
    <w:p>
      <w:pPr>
        <w:pStyle w:val="ListParagraph"/>
        <w:numPr>
          <w:ilvl w:val="0"/>
          <w:numId w:val="3"/>
        </w:numPr>
        <w:spacing w:before="40" w:after="40"/>
      </w:pPr>
      <w:r>
        <w:rPr>
          <w:rFonts w:ascii="Arial" w:cs="Arial" w:eastAsia="Arial" w:hAnsi="Arial"/>
          <w:sz w:val="22"/>
          <w:szCs w:val="22"/>
        </w:rPr>
        <w:t xml:space="preserve">Network and System Information</w:t>
      </w:r>
    </w:p>
    <w:p>
      <w:pPr>
        <w:spacing w:before="60" w:after="60"/>
      </w:pPr>
    </w:p>
    <w:p>
      <w:pPr>
        <w:pStyle w:val="ListParagraph"/>
        <w:numPr>
          <w:ilvl w:val="0"/>
          <w:numId w:val="3"/>
        </w:numPr>
        <w:spacing w:before="40" w:after="40"/>
      </w:pPr>
      <w:r>
        <w:rPr>
          <w:rFonts w:ascii="Arial" w:cs="Arial" w:eastAsia="Arial" w:hAnsi="Arial"/>
          <w:sz w:val="22"/>
          <w:szCs w:val="22"/>
        </w:rPr>
        <w:t xml:space="preserve">Personally Identifiable Information (PII)</w:t>
      </w:r>
    </w:p>
    <w:p>
      <w:pPr>
        <w:spacing w:before="60" w:after="60"/>
      </w:pPr>
    </w:p>
    <w:p>
      <w:pPr>
        <w:pStyle w:val="ListParagraph"/>
        <w:numPr>
          <w:ilvl w:val="0"/>
          <w:numId w:val="3"/>
        </w:numPr>
        <w:spacing w:before="40" w:after="40"/>
      </w:pPr>
      <w:r>
        <w:rPr>
          <w:rFonts w:ascii="Arial" w:cs="Arial" w:eastAsia="Arial" w:hAnsi="Arial"/>
          <w:sz w:val="22"/>
          <w:szCs w:val="22"/>
        </w:rPr>
        <w:t xml:space="preserve">Protected Health Information (PHI)</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Restricted</w:t>
      </w:r>
    </w:p>
    <w:p>
      <w:pPr>
        <w:spacing w:before="60" w:after="60"/>
      </w:pPr>
    </w:p>
    <w:p>
      <w:pPr>
        <w:spacing w:before="60" w:after="60"/>
      </w:pPr>
      <w:r>
        <w:rPr>
          <w:rFonts w:ascii="Arial" w:cs="Arial" w:eastAsia="Arial" w:hAnsi="Arial"/>
          <w:sz w:val="22"/>
          <w:szCs w:val="22"/>
        </w:rPr>
        <w:t xml:space="preserve">### Risk Impact Consideration</w:t>
      </w:r>
    </w:p>
    <w:p>
      <w:pPr>
        <w:spacing w:before="60" w:after="60"/>
      </w:pPr>
    </w:p>
    <w:p>
      <w:pPr>
        <w:pStyle w:val="ListParagraph"/>
        <w:numPr>
          <w:ilvl w:val="0"/>
          <w:numId w:val="3"/>
        </w:numPr>
        <w:spacing w:before="40" w:after="40"/>
      </w:pPr>
      <w:r>
        <w:rPr>
          <w:rFonts w:ascii="Arial" w:cs="Arial" w:eastAsia="Arial" w:hAnsi="Arial"/>
          <w:sz w:val="22"/>
          <w:szCs w:val="22"/>
        </w:rPr>
        <w:t xml:space="preserve">Extreme or serious injury</w:t>
      </w:r>
    </w:p>
    <w:p>
      <w:pPr>
        <w:spacing w:before="60" w:after="60"/>
      </w:pPr>
    </w:p>
    <w:p>
      <w:pPr>
        <w:pStyle w:val="ListParagraph"/>
        <w:numPr>
          <w:ilvl w:val="0"/>
          <w:numId w:val="3"/>
        </w:numPr>
        <w:spacing w:before="40" w:after="40"/>
      </w:pPr>
      <w:r>
        <w:rPr>
          <w:rFonts w:ascii="Arial" w:cs="Arial" w:eastAsia="Arial" w:hAnsi="Arial"/>
          <w:sz w:val="22"/>
          <w:szCs w:val="22"/>
        </w:rPr>
        <w:t xml:space="preserve">Loss of public safety</w:t>
      </w:r>
    </w:p>
    <w:p>
      <w:pPr>
        <w:spacing w:before="60" w:after="60"/>
      </w:pPr>
    </w:p>
    <w:p>
      <w:pPr>
        <w:pStyle w:val="ListParagraph"/>
        <w:numPr>
          <w:ilvl w:val="0"/>
          <w:numId w:val="3"/>
        </w:numPr>
        <w:spacing w:before="40" w:after="40"/>
      </w:pPr>
      <w:r>
        <w:rPr>
          <w:rFonts w:ascii="Arial" w:cs="Arial" w:eastAsia="Arial" w:hAnsi="Arial"/>
          <w:sz w:val="22"/>
          <w:szCs w:val="22"/>
        </w:rPr>
        <w:t xml:space="preserve">Significant financial loss</w:t>
      </w:r>
    </w:p>
    <w:p>
      <w:pPr>
        <w:spacing w:before="60" w:after="60"/>
      </w:pPr>
    </w:p>
    <w:p>
      <w:pPr>
        <w:pStyle w:val="ListParagraph"/>
        <w:numPr>
          <w:ilvl w:val="0"/>
          <w:numId w:val="3"/>
        </w:numPr>
        <w:spacing w:before="40" w:after="40"/>
      </w:pPr>
      <w:r>
        <w:rPr>
          <w:rFonts w:ascii="Arial" w:cs="Arial" w:eastAsia="Arial" w:hAnsi="Arial"/>
          <w:sz w:val="22"/>
          <w:szCs w:val="22"/>
        </w:rPr>
        <w:t xml:space="preserve">Significant legal implications</w:t>
      </w:r>
    </w:p>
    <w:p>
      <w:pPr>
        <w:spacing w:before="60" w:after="60"/>
      </w:pPr>
    </w:p>
    <w:p>
      <w:pPr>
        <w:pStyle w:val="ListParagraph"/>
        <w:numPr>
          <w:ilvl w:val="0"/>
          <w:numId w:val="3"/>
        </w:numPr>
        <w:spacing w:before="40" w:after="40"/>
      </w:pPr>
      <w:r>
        <w:rPr>
          <w:rFonts w:ascii="Arial" w:cs="Arial" w:eastAsia="Arial" w:hAnsi="Arial"/>
          <w:sz w:val="22"/>
          <w:szCs w:val="22"/>
        </w:rPr>
        <w:t xml:space="preserve">Significant damage</w:t>
      </w:r>
    </w:p>
    <w:p>
      <w:pPr>
        <w:spacing w:before="60" w:after="60"/>
      </w:pPr>
    </w:p>
    <w:p>
      <w:pPr>
        <w:spacing w:before="60" w:after="60"/>
      </w:pPr>
    </w:p>
    <w:p>
      <w:pPr>
        <w:spacing w:before="60" w:after="60"/>
      </w:pPr>
      <w:r>
        <w:rPr>
          <w:rFonts w:ascii="Arial" w:cs="Arial" w:eastAsia="Arial" w:hAnsi="Arial"/>
          <w:sz w:val="22"/>
          <w:szCs w:val="22"/>
        </w:rPr>
        <w:t xml:space="preserve">### Examples (Not Exhaustive)</w:t>
      </w:r>
    </w:p>
    <w:p>
      <w:pPr>
        <w:spacing w:before="60" w:after="60"/>
      </w:pPr>
    </w:p>
    <w:p>
      <w:pPr>
        <w:spacing w:before="60" w:after="60"/>
      </w:pPr>
      <w:r>
        <w:rPr>
          <w:rFonts w:ascii="Arial" w:cs="Arial" w:eastAsia="Arial" w:hAnsi="Arial"/>
          <w:b/>
          <w:bCs/>
          <w:sz w:val="22"/>
          <w:szCs w:val="22"/>
        </w:rPr>
        <w:t xml:space="preserve">Acquisition and Financial Data</w:t>
      </w:r>
    </w:p>
    <w:p>
      <w:pPr>
        <w:spacing w:before="60" w:after="60"/>
      </w:pPr>
    </w:p>
    <w:p>
      <w:pPr>
        <w:pStyle w:val="ListParagraph"/>
        <w:numPr>
          <w:ilvl w:val="0"/>
          <w:numId w:val="3"/>
        </w:numPr>
        <w:spacing w:before="40" w:after="40"/>
      </w:pPr>
      <w:r>
        <w:rPr>
          <w:rFonts w:ascii="Arial" w:cs="Arial" w:eastAsia="Arial" w:hAnsi="Arial"/>
          <w:sz w:val="22"/>
          <w:szCs w:val="22"/>
        </w:rPr>
        <w:t xml:space="preserve">Unpublished PolicyLift Financial Statements</w:t>
      </w:r>
    </w:p>
    <w:p>
      <w:pPr>
        <w:spacing w:before="60" w:after="60"/>
      </w:pPr>
    </w:p>
    <w:p>
      <w:pPr>
        <w:pStyle w:val="ListParagraph"/>
        <w:numPr>
          <w:ilvl w:val="0"/>
          <w:numId w:val="3"/>
        </w:numPr>
        <w:spacing w:before="40" w:after="40"/>
      </w:pPr>
      <w:r>
        <w:rPr>
          <w:rFonts w:ascii="Arial" w:cs="Arial" w:eastAsia="Arial" w:hAnsi="Arial"/>
          <w:sz w:val="22"/>
          <w:szCs w:val="22"/>
        </w:rPr>
        <w:t xml:space="preserve">General Ledger Data</w:t>
      </w:r>
    </w:p>
    <w:p>
      <w:pPr>
        <w:spacing w:before="60" w:after="60"/>
      </w:pPr>
    </w:p>
    <w:p>
      <w:pPr>
        <w:pStyle w:val="ListParagraph"/>
        <w:numPr>
          <w:ilvl w:val="0"/>
          <w:numId w:val="3"/>
        </w:numPr>
        <w:spacing w:before="40" w:after="40"/>
      </w:pPr>
      <w:r>
        <w:rPr>
          <w:rFonts w:ascii="Arial" w:cs="Arial" w:eastAsia="Arial" w:hAnsi="Arial"/>
          <w:sz w:val="22"/>
          <w:szCs w:val="22"/>
        </w:rPr>
        <w:t xml:space="preserve">Data Related to Potential Acquisitions</w:t>
      </w:r>
    </w:p>
    <w:p>
      <w:pPr>
        <w:spacing w:before="60" w:after="60"/>
      </w:pPr>
    </w:p>
    <w:p>
      <w:pPr>
        <w:spacing w:before="60" w:after="60"/>
      </w:pPr>
    </w:p>
    <w:p>
      <w:pPr>
        <w:spacing w:before="60" w:after="60"/>
      </w:pPr>
      <w:r>
        <w:rPr>
          <w:rFonts w:ascii="Arial" w:cs="Arial" w:eastAsia="Arial" w:hAnsi="Arial"/>
          <w:b/>
          <w:bCs/>
          <w:sz w:val="22"/>
          <w:szCs w:val="22"/>
        </w:rPr>
        <w:t xml:space="preserve">Source Code</w:t>
      </w:r>
    </w:p>
    <w:p>
      <w:pPr>
        <w:spacing w:before="60" w:after="60"/>
      </w:pPr>
    </w:p>
    <w:p>
      <w:pPr>
        <w:pStyle w:val="ListParagraph"/>
        <w:numPr>
          <w:ilvl w:val="0"/>
          <w:numId w:val="3"/>
        </w:numPr>
        <w:spacing w:before="40" w:after="40"/>
      </w:pPr>
      <w:r>
        <w:rPr>
          <w:rFonts w:ascii="Arial" w:cs="Arial" w:eastAsia="Arial" w:hAnsi="Arial"/>
          <w:sz w:val="22"/>
          <w:szCs w:val="22"/>
        </w:rPr>
        <w:t xml:space="preserve">Java and .NET Source Code for In-House Applications</w:t>
      </w:r>
    </w:p>
    <w:p>
      <w:pPr>
        <w:spacing w:before="60" w:after="60"/>
      </w:pPr>
    </w:p>
    <w:p>
      <w:pPr>
        <w:spacing w:before="60" w:after="60"/>
      </w:pPr>
    </w:p>
    <w:p>
      <w:pPr>
        <w:spacing w:before="60" w:after="60"/>
      </w:pPr>
      <w:r>
        <w:rPr>
          <w:rFonts w:ascii="Arial" w:cs="Arial" w:eastAsia="Arial" w:hAnsi="Arial"/>
          <w:b/>
          <w:bCs/>
          <w:sz w:val="22"/>
          <w:szCs w:val="22"/>
        </w:rPr>
        <w:t xml:space="preserve">Risk Data</w:t>
      </w:r>
    </w:p>
    <w:p>
      <w:pPr>
        <w:spacing w:before="60" w:after="60"/>
      </w:pPr>
    </w:p>
    <w:p>
      <w:pPr>
        <w:pStyle w:val="ListParagraph"/>
        <w:numPr>
          <w:ilvl w:val="0"/>
          <w:numId w:val="3"/>
        </w:numPr>
        <w:spacing w:before="40" w:after="40"/>
      </w:pPr>
      <w:r>
        <w:rPr>
          <w:rFonts w:ascii="Arial" w:cs="Arial" w:eastAsia="Arial" w:hAnsi="Arial"/>
          <w:sz w:val="22"/>
          <w:szCs w:val="22"/>
        </w:rPr>
        <w:t xml:space="preserve">Vulnerability/Penetration Test Reports</w:t>
      </w:r>
    </w:p>
    <w:p>
      <w:pPr>
        <w:spacing w:before="60" w:after="60"/>
      </w:pPr>
    </w:p>
    <w:p>
      <w:pPr>
        <w:pStyle w:val="ListParagraph"/>
        <w:numPr>
          <w:ilvl w:val="0"/>
          <w:numId w:val="3"/>
        </w:numPr>
        <w:spacing w:before="40" w:after="40"/>
      </w:pPr>
      <w:r>
        <w:rPr>
          <w:rFonts w:ascii="Arial" w:cs="Arial" w:eastAsia="Arial" w:hAnsi="Arial"/>
          <w:sz w:val="22"/>
          <w:szCs w:val="22"/>
        </w:rPr>
        <w:t xml:space="preserve">Detailed Security Audit Reports</w:t>
      </w:r>
    </w:p>
    <w:p>
      <w:pPr>
        <w:spacing w:before="60" w:after="60"/>
      </w:pPr>
    </w:p>
    <w:p>
      <w:pPr>
        <w:pStyle w:val="ListParagraph"/>
        <w:numPr>
          <w:ilvl w:val="0"/>
          <w:numId w:val="3"/>
        </w:numPr>
        <w:spacing w:before="40" w:after="40"/>
      </w:pPr>
      <w:r>
        <w:rPr>
          <w:rFonts w:ascii="Arial" w:cs="Arial" w:eastAsia="Arial" w:hAnsi="Arial"/>
          <w:sz w:val="22"/>
          <w:szCs w:val="22"/>
        </w:rPr>
        <w:t xml:space="preserve">Application Security Bugs and Flaws</w:t>
      </w:r>
    </w:p>
    <w:p>
      <w:pPr>
        <w:spacing w:before="60" w:after="60"/>
      </w:pPr>
    </w:p>
    <w:p>
      <w:pPr>
        <w:spacing w:before="60" w:after="60"/>
      </w:pPr>
    </w:p>
    <w:p>
      <w:pPr>
        <w:spacing w:before="60" w:after="60"/>
      </w:pPr>
      <w:r>
        <w:rPr>
          <w:rFonts w:ascii="Arial" w:cs="Arial" w:eastAsia="Arial" w:hAnsi="Arial"/>
          <w:b/>
          <w:bCs/>
          <w:sz w:val="22"/>
          <w:szCs w:val="22"/>
        </w:rPr>
        <w:t xml:space="preserve">Cryptographic Keys</w:t>
      </w:r>
    </w:p>
    <w:p>
      <w:pPr>
        <w:spacing w:before="60" w:after="60"/>
      </w:pPr>
    </w:p>
    <w:p>
      <w:pPr>
        <w:pStyle w:val="ListParagraph"/>
        <w:numPr>
          <w:ilvl w:val="0"/>
          <w:numId w:val="3"/>
        </w:numPr>
        <w:spacing w:before="40" w:after="40"/>
      </w:pPr>
      <w:r>
        <w:rPr>
          <w:rFonts w:ascii="Arial" w:cs="Arial" w:eastAsia="Arial" w:hAnsi="Arial"/>
          <w:sz w:val="22"/>
          <w:szCs w:val="22"/>
        </w:rPr>
        <w:t xml:space="preserve">Private Keys</w:t>
      </w:r>
    </w:p>
    <w:p>
      <w:pPr>
        <w:spacing w:before="60" w:after="60"/>
      </w:pPr>
    </w:p>
    <w:p>
      <w:pPr>
        <w:pStyle w:val="ListParagraph"/>
        <w:numPr>
          <w:ilvl w:val="0"/>
          <w:numId w:val="3"/>
        </w:numPr>
        <w:spacing w:before="40" w:after="40"/>
      </w:pPr>
      <w:r>
        <w:rPr>
          <w:rFonts w:ascii="Arial" w:cs="Arial" w:eastAsia="Arial" w:hAnsi="Arial"/>
          <w:sz w:val="22"/>
          <w:szCs w:val="22"/>
        </w:rPr>
        <w:t xml:space="preserve">Disk Encryption Keys</w:t>
      </w:r>
    </w:p>
    <w:p>
      <w:pPr>
        <w:spacing w:before="60" w:after="60"/>
      </w:pPr>
    </w:p>
    <w:p>
      <w:pPr>
        <w:spacing w:before="60" w:after="60"/>
      </w:pPr>
    </w:p>
    <w:p>
      <w:pPr>
        <w:spacing w:before="60" w:after="60"/>
      </w:pPr>
      <w:r>
        <w:rPr>
          <w:rFonts w:ascii="Arial" w:cs="Arial" w:eastAsia="Arial" w:hAnsi="Arial"/>
          <w:b/>
          <w:bCs/>
          <w:sz w:val="22"/>
          <w:szCs w:val="22"/>
        </w:rPr>
        <w:t xml:space="preserve">Legal and HR Records</w:t>
      </w:r>
    </w:p>
    <w:p>
      <w:pPr>
        <w:spacing w:before="60" w:after="60"/>
      </w:pPr>
    </w:p>
    <w:p>
      <w:pPr>
        <w:pStyle w:val="ListParagraph"/>
        <w:numPr>
          <w:ilvl w:val="0"/>
          <w:numId w:val="3"/>
        </w:numPr>
        <w:spacing w:before="40" w:after="40"/>
      </w:pPr>
      <w:r>
        <w:rPr>
          <w:rFonts w:ascii="Arial" w:cs="Arial" w:eastAsia="Arial" w:hAnsi="Arial"/>
          <w:sz w:val="22"/>
          <w:szCs w:val="22"/>
        </w:rPr>
        <w:t xml:space="preserve">Criminal Records and/or Investigations</w:t>
      </w:r>
    </w:p>
    <w:p>
      <w:pPr>
        <w:spacing w:before="60" w:after="60"/>
      </w:pPr>
    </w:p>
    <w:p>
      <w:pPr>
        <w:pStyle w:val="ListParagraph"/>
        <w:numPr>
          <w:ilvl w:val="0"/>
          <w:numId w:val="3"/>
        </w:numPr>
        <w:spacing w:before="40" w:after="40"/>
      </w:pPr>
      <w:r>
        <w:rPr>
          <w:rFonts w:ascii="Arial" w:cs="Arial" w:eastAsia="Arial" w:hAnsi="Arial"/>
          <w:sz w:val="22"/>
          <w:szCs w:val="22"/>
        </w:rPr>
        <w:t xml:space="preserve">Litigation Records</w:t>
      </w:r>
    </w:p>
    <w:p>
      <w:pPr>
        <w:spacing w:before="60" w:after="60"/>
      </w:pPr>
    </w:p>
    <w:p>
      <w:pPr>
        <w:pStyle w:val="ListParagraph"/>
        <w:numPr>
          <w:ilvl w:val="0"/>
          <w:numId w:val="3"/>
        </w:numPr>
        <w:spacing w:before="40" w:after="40"/>
      </w:pPr>
      <w:r>
        <w:rPr>
          <w:rFonts w:ascii="Arial" w:cs="Arial" w:eastAsia="Arial" w:hAnsi="Arial"/>
          <w:sz w:val="22"/>
          <w:szCs w:val="22"/>
        </w:rPr>
        <w:t xml:space="preserve">Employee Financial Information</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Asset Labeling and Handling</w:t>
      </w:r>
    </w:p>
    <w:p>
      <w:pPr>
        <w:spacing w:before="60" w:after="60"/>
      </w:pPr>
    </w:p>
    <w:p>
      <w:pPr>
        <w:spacing w:before="60" w:after="60"/>
      </w:pPr>
      <w:commentRangeStart w:id="15"/>
      <w:r>
        <w:rPr>
          <w:rFonts w:ascii="Arial" w:cs="Arial" w:eastAsia="Arial" w:hAnsi="Arial"/>
          <w:sz w:val="22"/>
          <w:szCs w:val="22"/>
        </w:rPr>
        <w:t xml:space="preserve">To ensure that the correct controls are applied to the information assets of the organization, a system of protective marking is used i.e., for printed reports, use of watermarks, warning signs for screen displays, classification level for emails, etc.</w:t>
      </w:r>
      <w:commentRangeEnd w:id="15"/>
      <w:r>
        <w:rPr>
          <w:rStyle w:val="CommentReference"/>
        </w:rPr>
        <w:commentReference w:id="15"/>
      </w:r>
    </w:p>
    <w:p>
      <w:pPr>
        <w:spacing w:before="60" w:after="60"/>
      </w:pPr>
    </w:p>
    <w:p>
      <w:pPr>
        <w:spacing w:before="60" w:after="60"/>
      </w:pPr>
      <w:commentRangeStart w:id="10"/>
      <w:r>
        <w:rPr>
          <w:rFonts w:ascii="Arial" w:cs="Arial" w:eastAsia="Arial" w:hAnsi="Arial"/>
          <w:sz w:val="22"/>
          <w:szCs w:val="22"/>
        </w:rPr>
        <w:t xml:space="preserve">Any information which is not explicitly classified is classified as Confidential by default to avoid data leakage.</w:t>
      </w:r>
      <w:commentRangeEnd w:id="10"/>
      <w:r>
        <w:rPr>
          <w:rStyle w:val="CommentReference"/>
        </w:rPr>
        <w:commentReference w:id="10"/>
      </w:r>
    </w:p>
    <w:p>
      <w:pPr>
        <w:spacing w:before="60" w:after="60"/>
      </w:pPr>
    </w:p>
    <w:p>
      <w:pPr>
        <w:spacing w:before="60" w:after="60"/>
      </w:pPr>
      <w:commentRangeStart w:id="11"/>
      <w:r>
        <w:rPr>
          <w:rFonts w:ascii="Arial" w:cs="Arial" w:eastAsia="Arial" w:hAnsi="Arial"/>
          <w:sz w:val="22"/>
          <w:szCs w:val="22"/>
        </w:rPr>
        <w:t xml:space="preserve">Information and its related IT assets are processed and stored strictly in accordance with the classification levels assigned to those assets. All information assets must be secured to meet the requirements of their respective classification levels.</w:t>
      </w:r>
      <w:commentRangeEnd w:id="11"/>
      <w:r>
        <w:rPr>
          <w:rStyle w:val="CommentReference"/>
        </w:rPr>
        <w:commentReference w:id="11"/>
      </w:r>
    </w:p>
    <w:p>
      <w:pPr>
        <w:spacing w:before="60" w:after="60"/>
      </w:pPr>
    </w:p>
    <w:p>
      <w:pPr>
        <w:spacing w:before="60" w:after="60"/>
      </w:pPr>
      <w:commentRangeStart w:id="13"/>
      <w:commentRangeStart w:id="12"/>
      <w:r>
        <w:rPr>
          <w:rFonts w:ascii="Arial" w:cs="Arial" w:eastAsia="Arial" w:hAnsi="Arial"/>
          <w:sz w:val="22"/>
          <w:szCs w:val="22"/>
        </w:rPr>
        <w:t xml:space="preserve">Access to the information assets shall be the responsibility of a designated owner. All information classified as Internal or Confidential must have security controls applied which are sufficient to ensure that the information is accessible only to those users who are authorized for access.</w:t>
      </w:r>
      <w:commentRangeEnd w:id="12"/>
      <w:r>
        <w:rPr>
          <w:rStyle w:val="CommentReference"/>
        </w:rPr>
        <w:commentReference w:id="12"/>
      </w:r>
      <w:commentRangeEnd w:id="13"/>
      <w:r>
        <w:rPr>
          <w:rStyle w:val="CommentReference"/>
        </w:rPr>
        <w:commentReference w:id="13"/>
      </w:r>
    </w:p>
    <w:p>
      <w:pPr>
        <w:spacing w:before="60" w:after="60"/>
      </w:pPr>
    </w:p>
    <w:p>
      <w:pPr>
        <w:spacing w:before="60" w:after="60"/>
      </w:pPr>
      <w:commentRangeStart w:id="14"/>
      <w:r>
        <w:rPr>
          <w:rFonts w:ascii="Arial" w:cs="Arial" w:eastAsia="Arial" w:hAnsi="Arial"/>
          <w:sz w:val="22"/>
          <w:szCs w:val="22"/>
        </w:rPr>
        <w:t xml:space="preserve">Any information, which needs to be disclosed or published outside PolicyLift (to the media, press, etc.) shall be done explicitly by or through corporate communications and based on authorization.</w:t>
      </w:r>
      <w:commentRangeEnd w:id="14"/>
      <w:r>
        <w:rPr>
          <w:rStyle w:val="CommentReference"/>
        </w:rPr>
        <w:commentReference w:id="14"/>
      </w:r>
    </w:p>
    <w:p>
      <w:pPr>
        <w:spacing w:before="60" w:after="60"/>
      </w:pPr>
    </w:p>
    <w:p>
      <w:pPr>
        <w:spacing w:before="60" w:after="60"/>
      </w:pPr>
      <w:commentRangeStart w:id="16"/>
      <w:r>
        <w:rPr>
          <w:rFonts w:ascii="Arial" w:cs="Arial" w:eastAsia="Arial" w:hAnsi="Arial"/>
          <w:sz w:val="22"/>
          <w:szCs w:val="22"/>
        </w:rPr>
        <w:t xml:space="preserve">For each security classification level, a set of handling controls must be in place to ensure that the information asset involved is appropriately protected at all times.</w:t>
      </w:r>
      <w:commentRangeEnd w:id="16"/>
      <w:r>
        <w:rPr>
          <w:rStyle w:val="CommentReference"/>
        </w:rPr>
        <w:commentReference w:id="16"/>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32Z" w:initials="PR">
    <w:p w14:paraId="7CD0C1EB" w14:textId="77777777">
      <w:r>
        <w:rPr>
          <w:rStyle w:val="CommentReference"/>
        </w:rPr>
        <w:annotationRef/>
      </w:r>
      <w:r>
        <w:rPr>
          <w:color w:val="000000"/>
          <w:sz w:val="20"/>
          <w:szCs w:val="20"/>
        </w:rPr>
        <w:t>[SCOPE] — Understand Data Classification Purpose and Scope
What this says: Data classification assigns value to information based on the risk of loss or harm from disclosure. It determines what can be disclosed outside PolicyLift and what should remain confidential.
Why it matters: Without classification, you don’t know what data is sensitive and what protections to apply. As an insurtech company handling customer insurance data, you handle both sensitive (customer PII, financial data) and non-sensitive (marketing materials) data. Classification ensures sensitive data gets appropriate controls.
Why it matters for PolicyLift: Your Supabase database likely contains customer policies, quotes, financial information, and claims data—all sensitive. You also have internal policies, marketing collateral, and code. Classification ensures each gets the right security controls and handling rules.
Recommendation: Treat data classification as foundational to PolicyLift’s security program. All other controls (access control, encryption, deletion procedures) flow from classification. Make it part of onboarding—every new employee learns the four classifications and how to handle each.</w:t>
      </w:r>
    </w:p>
  </w:comment>
  <w:comment w:id="1" w:author="PolicyLift Reviewer" w:date="2026-02-10T01:43:32Z" w:initials="PR">
    <w:p w14:paraId="05BD4144" w14:textId="77777777">
      <w:r>
        <w:rPr>
          <w:rStyle w:val="CommentReference"/>
        </w:rPr>
        <w:annotationRef/>
      </w:r>
      <w:r>
        <w:rPr>
          <w:color w:val="000000"/>
          <w:sz w:val="20"/>
          <w:szCs w:val="20"/>
        </w:rPr>
        <w:t>[COMMITMENT] — Assign Ownership and Classify All Information Assets
What this says: All information assets must have designated owners and be classified according to the policy’s guidelines. This applies to electronic and non-electronic information.
Why it matters: Ownership creates accountability. If no one owns data, no one is responsible for protecting it or deciding who can access it. Classification determines what protections are needed. Both are essential for compliance.
Why it matters for PolicyLift: With 9 people, it’s tempting to think ’everyone owns everything,’ but that leads to confusion and security gaps. For example, who owns customer policy data? Who decides if a customer can export their data? Who handles a data breach in that system?
Recommendation: Assign ownership for all major data categories: (1) CTO owns source code and system infrastructure data, (2) Head of Operations owns business processes, backup data, and logs, (3) Product Manager owns feature roadmaps and customer feedback, (4) CEO (Raghav) owns financial/board data and customer contract terms. For each asset, document: name, owner, classification, location (Supabase, GitHub, Google Drive, etc.), retention period. Store this in a simple spreadsheet or wiki. Update when new data sources are created.</w:t>
      </w:r>
    </w:p>
  </w:comment>
  <w:comment w:id="2" w:author="PolicyLift Reviewer" w:date="2026-02-10T01:43:32Z" w:initials="PR">
    <w:p w14:paraId="6E5DEAA4" w14:textId="77777777">
      <w:r>
        <w:rPr>
          <w:rStyle w:val="CommentReference"/>
        </w:rPr>
        <w:annotationRef/>
      </w:r>
      <w:r>
        <w:rPr>
          <w:color w:val="000000"/>
          <w:sz w:val="20"/>
          <w:szCs w:val="20"/>
        </w:rPr>
        <w:t>[PROCESS] — Identify and Inventory All Information Assets
What this says: All information and related IT assets must be clearly identified and have an owner. This includes information assets, physical IT assets, and IT services.
Why it matters: You can’t classify what you haven’t identified. An inventory is the foundation for understanding what data PolicyLift has, where it’s stored, and who can access it. It’s also essential for SOC 2—auditors will ask for an asset inventory.
Why it matters for PolicyLift: You likely have data spread across multiple locations: Supabase (customer data), GitHub (source code), Google Drive (documents), local machines (logs, configs), email (communications). Without an inventory, you’re flying blind.
Recommendation: Create an asset inventory spreadsheet with columns: (1) Asset name (e.g., ’Production database’), (2) Type (database, code repo, document storage, etc.), (3) Owner, (4) Classification (see below), (5) Location, (6) Access method, (7) Retention period, (8) Last reviewed date. Start with the critical assets: Supabase database, GitHub repositories, Google Drive, and email. Expand over time. Update inventory annually or when new systems are added. Store the inventory securely (accessible only to security/leadership).</w:t>
      </w:r>
    </w:p>
  </w:comment>
  <w:comment w:id="3" w:author="PolicyLift Reviewer" w:date="2026-02-10T01:43:32Z" w:initials="PR">
    <w:p w14:paraId="2908B007" w14:textId="77777777">
      <w:r>
        <w:rPr>
          <w:rStyle w:val="CommentReference"/>
        </w:rPr>
        <w:annotationRef/>
      </w:r>
      <w:r>
        <w:rPr>
          <w:color w:val="000000"/>
          <w:sz w:val="20"/>
          <w:szCs w:val="20"/>
        </w:rPr>
        <w:t>[RECURRING] — Review and Update Asset Inventory Annually
What this says: PolicyLift must maintain and periodically review and update the asset inventory (at minimum annually or as-needed) to record all information assets, including details on ownership, classification, and location.
Why it matters: Systems change, new assets are created, old ones are decommissioned. An annual review ensures the inventory stays accurate and complete. Out-of-date inventories are worse than useless—they create false confidence.
Recommendation: Schedule an annual asset inventory review (e.g., January) where the CTO, Head of Operations, and Product Manager review the inventory and update it. Specific questions to ask: (1) What new systems have we added? (2) What systems have we decommissioned? (3) Has ownership changed? (4) Has classification changed? (5) Where is each asset stored? (6) Who has access? Document the review date and who participated. If as-needed updates are necessary (e.g., new Supabase schema added mid-year), update immediately and note the date.</w:t>
      </w:r>
    </w:p>
  </w:comment>
  <w:comment w:id="4" w:author="PolicyLift Reviewer" w:date="2026-02-10T01:43:32Z" w:initials="PR">
    <w:p w14:paraId="4C18D14F" w14:textId="77777777">
      <w:r>
        <w:rPr>
          <w:rStyle w:val="CommentReference"/>
        </w:rPr>
        <w:annotationRef/>
      </w:r>
      <w:r>
        <w:rPr>
          <w:color w:val="000000"/>
          <w:sz w:val="20"/>
          <w:szCs w:val="20"/>
        </w:rPr>
        <w:t>[COMMITMENT] — Classify Data Into Four Categories: Public, Internal, Confidential, Restricted
What this says: All information must be classified into one of four categories: Public (no confidentiality), Internal (need-to-know within company), Confidential (sensitive within company), or Restricted (extremely sensitive, named individuals only).
Why it matters: These four categories provide a simple, consistent framework for handling data. Each category has different protection requirements (access controls, encryption, deletion). Using a standard framework ensures consistency across the organization.
Why it matters for PolicyLift: Customers handle insurance policies and financial information—clearly Confidential or Restricted. But you also have marketing materials (Public) and internal meeting notes (Internal). Clear categories prevent accidental disclosure and ensure appropriate protections.
Recommendation: Use the four classifications provided in the policy: (1) Public: marketing, press releases, job postings, public website, (2) Internal: internal policies, meeting notes, org docs, internal tools, (3) Confidential: customer policies, financial reports, employee data, source code, contracts, (4) Restricted: master encryption keys, vulnerability reports, acquisition data, employee financial info. Create a quick reference guide (1-page) with examples for each category. Make it accessible to all staff.</w:t>
      </w:r>
    </w:p>
  </w:comment>
  <w:comment w:id="5" w:author="PolicyLift Reviewer" w:date="2026-02-10T01:43:32Z" w:initials="PR">
    <w:p w14:paraId="3168634F" w14:textId="77777777">
      <w:r>
        <w:rPr>
          <w:rStyle w:val="CommentReference"/>
        </w:rPr>
        <w:annotationRef/>
      </w:r>
      <w:r>
        <w:rPr>
          <w:color w:val="000000"/>
          <w:sz w:val="20"/>
          <w:szCs w:val="20"/>
        </w:rPr>
        <w:t>[PROCESS] — Apply Public Classification Appropriately
What this says: Public information is not confidential and can be made public without implications for the organization. It’s available to the public, employees, consultants, and contractors without authorization.
Why it matters: Public data requires minimal security controls—it doesn’t need to be encrypted or have restricted access. However, you still need to protect it from corruption or deletion. Properly classifying as Public prevents over-protecting data and slowing business.
Why it matters for PolicyLift: Website copy, marketing materials, job postings, and published reports can be Public. You don’t need expensive security controls for these. However, make sure you’re not accidentally marking sensitive data as Public.
Recommendation: For PolicyLift, Public data typically includes: press releases, website content, blog posts, marketing collateral, published reports, API documentation. For public-facing items, verify with the CEO (Raghav) or designated communications person before publishing. Maintain copies of published items for compliance/liability purposes (e.g., keep marketing emails for 7 years if they make regulatory claims).</w:t>
      </w:r>
    </w:p>
  </w:comment>
  <w:comment w:id="6" w:author="PolicyLift Reviewer" w:date="2026-02-10T01:43:32Z" w:initials="PR">
    <w:p w14:paraId="201D6691" w14:textId="77777777">
      <w:r>
        <w:rPr>
          <w:rStyle w:val="CommentReference"/>
        </w:rPr>
        <w:annotationRef/>
      </w:r>
      <w:r>
        <w:rPr>
          <w:color w:val="000000"/>
          <w:sz w:val="20"/>
          <w:szCs w:val="20"/>
        </w:rPr>
        <w:t>[PROCESS] — Apply Internal Classification Appropriately
What this says: Internal information is available to employees and authorized non-employees (consultants, contractors) with need-to-know for business purposes.
Why it matters: Internal data includes business-critical information that shouldn’t be public (strategic plans, internal policies, meeting notes) but is safe for all staff to access. Classifying as Internal allows sharing within the company without special approval.
Why it matters for PolicyLift: Your internal policies (including these SOC 2 policies), meeting minutes, planning documents, and internal procedures are Internal. All 9 staff plus offshore devs need access to be effective. Marking as Internal says ’no special approval needed to share with other PolicyLift staff.’
Recommendation: For PolicyLift, Internal data includes: these policies, internal procedures, meeting notes, planning documents, org charts, internal staff communications, status reports, roadmaps. Access control: available to all employees and contractors. Storage: can be on Google Drive, shared drives, or GitHub (in private repos). Retention: keep for 2-3 years for reference/audit purposes. Example: ’SOC 2 Policies’ marked Internal, stored on Google Drive, accessible to all staff.</w:t>
      </w:r>
    </w:p>
  </w:comment>
  <w:comment w:id="7" w:author="PolicyLift Reviewer" w:date="2026-02-10T01:43:32Z" w:initials="PR">
    <w:p w14:paraId="26E38B22" w14:textId="77777777">
      <w:r>
        <w:rPr>
          <w:rStyle w:val="CommentReference"/>
        </w:rPr>
        <w:annotationRef/>
      </w:r>
      <w:r>
        <w:rPr>
          <w:color w:val="000000"/>
          <w:sz w:val="20"/>
          <w:szCs w:val="20"/>
        </w:rPr>
        <w:t>[PROCESS] — Apply Confidential Classification Appropriately
What this says: Confidential information is sensitive within PolicyLift and intended for specific groups of employees. A breach could cause serious embarrassment or undermine public trust in the organization.
Why it matters: Confidential data requires restricted access and stronger controls (encryption, access logs). The organization needs to be deliberate about who can access it. A breach of Confidential data is a serious incident.
Why it matters for PolicyLift: Customer insurance policies, financial reports, employee personal information, and source code are all Confidential. Customers trust you with their data; a breach erodes that trust and can result in liability and regulatory consequences.
Recommendation: For PolicyLift, Confidential data includes: customer policies/quotes/claims, financial reports, banking information, employee records (names, emails, phone numbers), contracts with customers/vendors, system configuration, production database backups, API credentials (though these should be Restricted). Access control: restricted to employees and contractors with legitimate business need. Encryption: in-transit and at-rest. Access logs: maintain and audit quarterly. Retention: follow regulatory requirements (often 7 years for insurance). Example: ’Production Database’ marked Confidential, encrypted in Supabase, access logged, accessible only to CTO and developers with need-to-know.</w:t>
      </w:r>
    </w:p>
  </w:comment>
  <w:comment w:id="8" w:author="PolicyLift Reviewer" w:date="2026-02-10T01:43:32Z" w:initials="PR">
    <w:p w14:paraId="7229E8A3" w14:textId="77777777">
      <w:r>
        <w:rPr>
          <w:rStyle w:val="CommentReference"/>
        </w:rPr>
        <w:annotationRef/>
      </w:r>
      <w:r>
        <w:rPr>
          <w:color w:val="000000"/>
          <w:sz w:val="20"/>
          <w:szCs w:val="20"/>
        </w:rPr>
        <w:t>[PROCESS] — Apply Restricted Classification Appropriately
What this says: Restricted information is extremely sensitive and intended only for named individuals or positions. A breach would risk health, safety, privacy, or reputation of individuals, the public, PolicyLift, or customers.
Why it matters: Restricted data requires the strongest controls (encryption, strict access limits, audit trails). Breaches have severe consequences. Access should be granted on a case-by-case basis with justification.
Why it matters for PolicyLift: Master encryption keys, vulnerability reports from Delve pen testing, customer SSNs or health data (if applicable), employee financial information, and acquisition data are all Restricted. A breach could have legal, financial, and reputational consequences.
Recommendation: For PolicyLift, Restricted data includes: cryptographic keys, disaster recovery credentials, penetration test reports and vulnerabilities, customer PII (SSN, health data, if stored), employee financial info (salary, benefits), acquisition/M&amp;A plans, board deliberations. Access control: named individuals only, documented approval required. Encryption: AES-256 at rest, TLS 1.2+ in transit. Audit logging: every access tracked and reviewed monthly. Storage: secure systems only (not Google Drive, not Slack). Retention: per regulatory requirements. Example: ’Master Database Key’ marked Restricted, stored in encrypted vault, access limited to CTO and Head of Operations, every access logged.</w:t>
      </w:r>
    </w:p>
  </w:comment>
  <w:comment w:id="9" w:author="PolicyLift Reviewer" w:date="2026-02-10T01:43:32Z" w:initials="PR">
    <w:p w14:paraId="7171924C" w14:textId="77777777">
      <w:r>
        <w:rPr>
          <w:rStyle w:val="CommentReference"/>
        </w:rPr>
        <w:annotationRef/>
      </w:r>
      <w:r>
        <w:rPr>
          <w:color w:val="000000"/>
          <w:sz w:val="20"/>
          <w:szCs w:val="20"/>
        </w:rPr>
        <w:t>[VENDOR/THIRD-PARTY] — Require NDAs Before Disclosing Confidential/Restricted Data
What this says: When Confidential or Restricted information must be disclosed to outsiders (auditors, regulators, consultants), the asset owner should ensure NDAs are signed before disclosure. Even after disclosure, the classification remains unchanged.
Why it matters: External parties need to understand they’re handling sensitive data and have legal obligations to protect it. NDAs create accountability. The classification stays the same because the sensitivity hasn’t changed—the data is still at risk if mishandled.
Why it matters for PolicyLift: You’ll disclose Confidential/Restricted data to: SOC 2 auditors (they’ll see source code, configs, customer data), pen testing firm Delve (they’ll test all systems), and potentially regulators. You need NDAs to ensure they keep the data confidential.
Recommendation: Use a standard NDA template. Have the CEO or Head of Operations review and sign before giving data to outsiders. Specifically with Delve pen testers: ensure they have an NDA covering vulnerability reports and findings. Specifically with SOC 2 auditors: provide an NDA covering all systems, configs, and customer data they review. Keep copies of signed NDAs in a file for compliance. Consider requiring NDAs at vendor onboarding as a standard practice.</w:t>
      </w:r>
    </w:p>
  </w:comment>
  <w:comment w:id="10" w:author="PolicyLift Reviewer" w:date="2026-02-10T01:43:32Z" w:initials="PR">
    <w:p w14:paraId="72B398F5" w14:textId="77777777">
      <w:r>
        <w:rPr>
          <w:rStyle w:val="CommentReference"/>
        </w:rPr>
        <w:annotationRef/>
      </w:r>
      <w:r>
        <w:rPr>
          <w:color w:val="000000"/>
          <w:sz w:val="20"/>
          <w:szCs w:val="20"/>
        </w:rPr>
        <w:t>[COMMITMENT] — Default Unclassified Data to Confidential
What this says: Any information not explicitly classified defaults to Confidential to avoid data leakage.
Why it matters: This ’safe default’ prevents data from being mis-classified as Public and accidentally disclosed. It’s conservative—if you’re unsure, err on the side of more protection. You can always downgrade classification later.
Why it matters for PolicyLift: With a small team, data might not always get formally classified. This rule ensures that until someone explicitly decides it’s Public or Internal, it gets the protection of Confidential.
Recommendation: Communicate this to all staff: ’If you create data and aren’t sure how to classify it, mark it Confidential. Then ask the asset owner or your manager to confirm the correct classification.’ This prevents accidental disclosure while allowing business agility. Apply especially to customer data and system information—default to Confidential.</w:t>
      </w:r>
    </w:p>
  </w:comment>
  <w:comment w:id="11" w:author="PolicyLift Reviewer" w:date="2026-02-10T01:43:32Z" w:initials="PR">
    <w:p w14:paraId="4189F3AB" w14:textId="77777777">
      <w:r>
        <w:rPr>
          <w:rStyle w:val="CommentReference"/>
        </w:rPr>
        <w:annotationRef/>
      </w:r>
      <w:r>
        <w:rPr>
          <w:color w:val="000000"/>
          <w:sz w:val="20"/>
          <w:szCs w:val="20"/>
        </w:rPr>
        <w:t>[PROCESS] — Apply Controls Matching Classification Level
What this says: Information and related IT assets must be processed and stored strictly according to their classification levels. All information assets must be secured to meet the requirements of their respective classification levels.
Why it matters: Classification is only useful if followed by appropriate actions. Confidential data stored unencrypted is just as vulnerable as Public data. Controls must match classification.
Why it matters for PolicyLift: If you classify data as Confidential but store it unencrypted on a shared drive accessible to everyone, the classification is meaningless. You need to implement controls that match: encryption, access restrictions, audit logging, and data handling procedures.
Recommendation: For each classification, define minimum controls: (1) Public: integrity protection (checksums, backups), availability, (2) Internal: access control (employees only), confidentiality, (3) Confidential: encryption (in-transit and at-rest), strict access control, audit logging, (4) Restricted: all of the above plus additional controls like multi-person rules (2 people required to access), key splitting, air-gapping. When data is created, classify it and implement the controls. Audit quarterly to ensure controls are being followed.</w:t>
      </w:r>
    </w:p>
  </w:comment>
  <w:comment w:id="12" w:author="PolicyLift Reviewer" w:date="2026-02-10T01:43:32Z" w:initials="PR">
    <w:p w14:paraId="595F6FB3" w14:textId="77777777">
      <w:r>
        <w:rPr>
          <w:rStyle w:val="CommentReference"/>
        </w:rPr>
        <w:annotationRef/>
      </w:r>
      <w:r>
        <w:rPr>
          <w:color w:val="000000"/>
          <w:sz w:val="20"/>
          <w:szCs w:val="20"/>
        </w:rPr>
        <w:t>[ROLE] — Designate Asset Owner Responsible for Access Control
What this says: Access to information assets is the responsibility of a designated owner. All Internal or Confidential information must have security controls ensuring only authorized users can access it.
Why it matters: Ownership creates accountability for access decisions. Owners decide who gets access and ensure inappropriate access is revoked. Without clear ownership, access control becomes chaotic.
Why it matters for PolicyLift: If customer data access isn’t managed, someone might accidentally expose a customer’s policy to another customer. Or a departed employee’s access might not be revoked. Clear ownership prevents these mistakes.
Recommendation: Assign asset owners to major data categories: (1) CTO owns system assets (source code, infrastructure, production database, logging), (2) Head of Operations owns business process data (business processes, backup procedures, disaster recovery data), (3) Product Manager owns customer-facing data (feature requests, roadmaps). Establish a quarterly access review where owners verify that everyone with access still needs it and revoke access for anyone who’s left or changed roles. Document access decisions in a simple spreadsheet or ticketing system.</w:t>
      </w:r>
    </w:p>
  </w:comment>
  <w:comment w:id="13" w:author="PolicyLift Reviewer" w:date="2026-02-10T01:43:32Z" w:initials="PR">
    <w:p w14:paraId="430CED83" w14:textId="77777777">
      <w:r>
        <w:rPr>
          <w:rStyle w:val="CommentReference"/>
        </w:rPr>
        <w:annotationRef/>
      </w:r>
      <w:r>
        <w:rPr>
          <w:color w:val="000000"/>
          <w:sz w:val="20"/>
          <w:szCs w:val="20"/>
        </w:rPr>
        <w:t>[COMMITMENT] — Implement Access Controls for Internal and Confidential Data
What this says: All Internal and Confidential information must have security controls ensuring it’s accessible only to authorized users.
Why it matters: Access control is the fundamental security control. Without it, anyone could read sensitive data. Controls can be technical (file permissions, database grants) or procedural (manual approval before sharing).
Why it matters for PolicyLift: Your Supabase database and GitHub repositories contain Confidential source code and customer data. If access isn’t restricted, any developer (including offshore devs) could read customer SSNs or source code. You need controls.
Recommendation: Implement access controls: (1) Supabase: use role-based access control (separate roles for read-only access, write access, admin), password protect, use VPN or IP whitelist for access, enable audit logging, (2) GitHub: require authentication, use branch protection, require code review, limit who can approve merges to main, (3) Google Drive: set folder permissions (view only for some, edit for others), remove access when people leave, (4) Email: use strong passwords and MFA, archive sensitive emails for records. Audit access monthly. Document who has access to what and why.</w:t>
      </w:r>
    </w:p>
  </w:comment>
  <w:comment w:id="14" w:author="PolicyLift Reviewer" w:date="2026-02-10T01:43:32Z" w:initials="PR">
    <w:p w14:paraId="2CE0243E" w14:textId="77777777">
      <w:r>
        <w:rPr>
          <w:rStyle w:val="CommentReference"/>
        </w:rPr>
        <w:annotationRef/>
      </w:r>
      <w:r>
        <w:rPr>
          <w:color w:val="000000"/>
          <w:sz w:val="20"/>
          <w:szCs w:val="20"/>
        </w:rPr>
        <w:t>[PROCESS] — Require Authorization for External Data Disclosure
What this says: Any information needing to be disclosed or published outside PolicyLift (to media, press, etc.) must be explicitly approved by or through corporate communications based on authorization.
Why it matters: External disclosures can have legal, financial, or reputational implications. Authorizing disclosures ensures the organization has considered the risks and benefits before sharing information publicly.
Why it matters for PolicyLift: If a developer announces a new security feature to the press without vetting, it might be inaccurate or hurt sales. If someone discloses a customer’s data in an interview, it’s a breach. Requiring approval prevents these mistakes.
Recommendation: Create a simple approval workflow: (1) Anyone wanting to share PolicyLift information externally must get approval from the CEO (Raghav) or designated communications person, (2) Provide a request template: ’What information? Where? Why? Any customer/partner data?’ (3) CEO reviews for accuracy, appropriateness, and risk, (4) Document approval and what was disclosed (for compliance/audit purposes), (5) Apply this to: press releases, public statements, customer case studies, conference talks, blog posts mentioning PolicyLift. This ensures consistent external messaging and protects sensitive information.</w:t>
      </w:r>
    </w:p>
  </w:comment>
  <w:comment w:id="15" w:author="PolicyLift Reviewer" w:date="2026-02-10T01:43:32Z" w:initials="PR">
    <w:p w14:paraId="071DB4E4" w14:textId="77777777">
      <w:r>
        <w:rPr>
          <w:rStyle w:val="CommentReference"/>
        </w:rPr>
        <w:annotationRef/>
      </w:r>
      <w:r>
        <w:rPr>
          <w:color w:val="000000"/>
          <w:sz w:val="20"/>
          <w:szCs w:val="20"/>
        </w:rPr>
        <w:t>[PROCESS] — Use Protective Marking System for Data Classification
What this says: A system of protective marking is used to ensure correct controls are applied to information assets (e.g., watermarks on printed reports, classification labels on emails, warning signs on screen displays).
Why it matters: Markings make classification visible, reminding people to handle data appropriately. A ’Confidential’ watermark on a printed report prompts the person holding it to not leave it on a desk or share it carelessly. Markings also provide evidence that data was appropriately marked at the time of disclosure.
Why it matters for PolicyLift: Marking data helps the team remember what data is sensitive and protects it from accidental disclosure. It’s also evidence for SOC 2—auditors want to see that sensitive data is marked as such.
Recommendation: Implement simple marking practices: (1) Emails with Confidential/Restricted data: add classification to subject line or body (e.g., ’[CONFIDENTIAL] Customer data attached’), (2) Google Drive documents: add a comment noting classification, (3) GitHub: add classification to README in repo, (4) Printed documents: use a watermark or stamp (’CONFIDENTIAL’), (5) Source code: add comments noting data sensitivity (e.g., ’// RESTRICTED: master keys, do not log’). Make this a habit through training and code/document review templates.</w:t>
      </w:r>
    </w:p>
  </w:comment>
  <w:comment w:id="16" w:author="PolicyLift Reviewer" w:date="2026-02-10T01:43:32Z" w:initials="PR">
    <w:p w14:paraId="16034CB8" w14:textId="77777777">
      <w:r>
        <w:rPr>
          <w:rStyle w:val="CommentReference"/>
        </w:rPr>
        <w:annotationRef/>
      </w:r>
      <w:r>
        <w:rPr>
          <w:color w:val="000000"/>
          <w:sz w:val="20"/>
          <w:szCs w:val="20"/>
        </w:rPr>
        <w:t>[COMMITMENT] — Document Handling Controls for Each Classification Level
What this says: For each security classification level, a set of handling controls must be in place to ensure information assets are appropriately protected at all times.
Why it matters: Handling controls cover the full lifecycle: creation, storage, access, transmission, use, and deletion. Without documented controls, protections are inconsistent or forgotten.
Why it matters for PolicyLift: If you don’t document that Restricted data must be deleted after expiration, someone might keep it indefinitely—increasing risk. If you don’t document that Confidential data must be encrypted before emailing, someone might send unencrypted data.
Recommendation: Create a simple handling controls matrix for each classification: (1) Public: No special handling, maintain integrity (backups), standard retention, (2) Internal: Restrict access to employees/contractors, no external sharing without approval, standard retention, (3) Confidential: Encrypt in-transit and at-rest, restrict access to need-to-know staff, audit access quarterly, require NDA before external sharing, retain per regulatory requirement (7+ years for customer data), (4) Restricted: All Confidential controls plus multi-person rule for access, key splitting, no electronic transmission without strong encryption, destroy securely after retention expires (don’t just delete). Document this matrix and include in onboarding/training.</w:t>
      </w:r>
    </w:p>
  </w:comment>
  <w:comment w:id="17" w:author="PolicyLift Reviewer" w:date="2026-02-10T01:43:32Z" w:initials="PR">
    <w:p w14:paraId="5ECDB649" w14:textId="77777777">
      <w:r>
        <w:rPr>
          <w:rStyle w:val="CommentReference"/>
        </w:rPr>
        <w:annotationRef/>
      </w:r>
      <w:r>
        <w:rPr>
          <w:color w:val="000000"/>
          <w:sz w:val="20"/>
          <w:szCs w:val="20"/>
        </w:rPr>
        <w:t>[VENDOR/THIRD-PARTY] — Require Third Parties to Adhere to Data Classification Policy
What this says: Where a third party handles information on behalf of PolicyLift, the third party must be required by contract to adhere to this policy before information is shared.
Why it matters: Third parties (vendors, contractors, partners) have a duty to protect PolicyLift’s data the same way PolicyLift does. Contractual obligations create legal recourse if a third party breaches the policy. This is especially important for vendors handling Confidential or Restricted data.
Why it matters for PolicyLift: Your offshore development agency has access to source code. Supabase stores customer data. If either mishandles data, it’s PolicyLift’s problem. You need contractual assurances that they’ll protect data appropriately.
Recommendation: Include data protection clauses in all vendor contracts: (1) Vendor must adhere to PolicyLift’s Data Classification Policy, (2) Vendor must encrypt data in-transit and at-rest, (3) Vendor must restrict access to named personnel with need-to-know, (4) Vendor must notify PolicyLift within 24 hours of any suspected breach, (5) Vendor must provide audit evidence (logs, certifications like SOC 2) on request, (6) Upon termination, vendor must return or securely destroy all PolicyLift data within 30 days. Reference this policy in contracts by name. For existing vendors (Supabase, offshore dev agency), review contracts to ensure these clauses exist or amend if necessary.</w:t>
      </w:r>
    </w:p>
  </w:comment>
  <w:comment w:id="18" w:author="PolicyLift Reviewer" w:date="2026-02-10T01:43:32Z" w:initials="PR">
    <w:p w14:paraId="3DAC449E" w14:textId="77777777">
      <w:r>
        <w:rPr>
          <w:rStyle w:val="CommentReference"/>
        </w:rPr>
        <w:annotationRef/>
      </w:r>
      <w:r>
        <w:rPr>
          <w:color w:val="000000"/>
          <w:sz w:val="20"/>
          <w:szCs w:val="20"/>
        </w:rPr>
        <w:t>[ROLE] — Ensure All Personnel Understand and Implement Data Classification
What this says: All PolicyLift employees, directors, shareholders, consultants, and contractors who handle information are responsible for understanding and implementing this policy.
Why it matters: A policy is only effective if everyone follows it. Personal responsibility is essential. Everyone who handles data needs to understand classifications and apply controls.
Why it matters for PolicyLift: All 9 staff plus 4 offshore developers handle data daily. If even one person doesn’t understand the policy or ignores it, sensitive data could be exposed. Everyone is accountable.
Recommendation: (1) Include data classification training in onboarding for all new staff and contractors, (2) Provide a 1-page quick reference guide with classifications and examples, (3) Regularly reinforce (monthly tip: ’Remember to mark sensitive emails as [CONFIDENTIAL]’), (4) During code review, check that developers aren’t logging sensitive data, (5) During file reviews, ensure documents are marked with classification, (6) If someone violates the policy (e.g., forwards Confidential data externally without approval), coach them and document it, (7) Make clear in job descriptions and contracts that adherence to this policy is a job requirement.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D0C1EB" w15:done="0"/>
  <w15:commentEx w15:paraId="05BD4144" w15:done="0"/>
  <w15:commentEx w15:paraId="6E5DEAA4" w15:done="0"/>
  <w15:commentEx w15:paraId="2908B007" w15:done="0"/>
  <w15:commentEx w15:paraId="4C18D14F" w15:done="0"/>
  <w15:commentEx w15:paraId="3168634F" w15:done="0"/>
  <w15:commentEx w15:paraId="201D6691" w15:done="0"/>
  <w15:commentEx w15:paraId="26E38B22" w15:done="0"/>
  <w15:commentEx w15:paraId="7229E8A3" w15:done="0"/>
  <w15:commentEx w15:paraId="7171924C" w15:done="0"/>
  <w15:commentEx w15:paraId="72B398F5" w15:done="0"/>
  <w15:commentEx w15:paraId="4189F3AB" w15:done="0"/>
  <w15:commentEx w15:paraId="595F6FB3" w15:done="0"/>
  <w15:commentEx w15:paraId="430CED83" w15:done="0"/>
  <w15:commentEx w15:paraId="2CE0243E" w15:done="0"/>
  <w15:commentEx w15:paraId="071DB4E4" w15:done="0"/>
  <w15:commentEx w15:paraId="16034CB8" w15:done="0"/>
  <w15:commentEx w15:paraId="5ECDB649" w15:done="0"/>
  <w15:commentEx w15:paraId="3DAC44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D5AF25C" w16cex:dateUtc="2026-02-10T01:43:32Z"/>
  <w16cex:commentExtensible w16cex:durableId="7785FB48" w16cex:dateUtc="2026-02-10T01:43:32Z"/>
  <w16cex:commentExtensible w16cex:durableId="3379CCD7" w16cex:dateUtc="2026-02-10T01:43:32Z"/>
  <w16cex:commentExtensible w16cex:durableId="18E84770" w16cex:dateUtc="2026-02-10T01:43:32Z"/>
  <w16cex:commentExtensible w16cex:durableId="2B81D11D" w16cex:dateUtc="2026-02-10T01:43:32Z"/>
  <w16cex:commentExtensible w16cex:durableId="060E2DD6" w16cex:dateUtc="2026-02-10T01:43:32Z"/>
  <w16cex:commentExtensible w16cex:durableId="49B6D830" w16cex:dateUtc="2026-02-10T01:43:32Z"/>
  <w16cex:commentExtensible w16cex:durableId="7699245D" w16cex:dateUtc="2026-02-10T01:43:32Z"/>
  <w16cex:commentExtensible w16cex:durableId="1B72B633" w16cex:dateUtc="2026-02-10T01:43:32Z"/>
  <w16cex:commentExtensible w16cex:durableId="110B417B" w16cex:dateUtc="2026-02-10T01:43:32Z"/>
  <w16cex:commentExtensible w16cex:durableId="3DF1EAA5" w16cex:dateUtc="2026-02-10T01:43:32Z"/>
  <w16cex:commentExtensible w16cex:durableId="1E8802D5" w16cex:dateUtc="2026-02-10T01:43:32Z"/>
  <w16cex:commentExtensible w16cex:durableId="19B237F1" w16cex:dateUtc="2026-02-10T01:43:32Z"/>
  <w16cex:commentExtensible w16cex:durableId="66E50857" w16cex:dateUtc="2026-02-10T01:43:32Z"/>
  <w16cex:commentExtensible w16cex:durableId="60E4D03F" w16cex:dateUtc="2026-02-10T01:43:32Z"/>
  <w16cex:commentExtensible w16cex:durableId="2EDCA58A" w16cex:dateUtc="2026-02-10T01:43:32Z"/>
  <w16cex:commentExtensible w16cex:durableId="75B8017D" w16cex:dateUtc="2026-02-10T01:43:32Z"/>
  <w16cex:commentExtensible w16cex:durableId="31E19828" w16cex:dateUtc="2026-02-10T01:43:32Z"/>
  <w16cex:commentExtensible w16cex:durableId="4FAADDB2" w16cex:dateUtc="2026-02-10T01:43:3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D0C1EB" w16cid:durableId="7D5AF25C"/>
  <w16cid:commentId w16cid:paraId="05BD4144" w16cid:durableId="7785FB48"/>
  <w16cid:commentId w16cid:paraId="6E5DEAA4" w16cid:durableId="3379CCD7"/>
  <w16cid:commentId w16cid:paraId="2908B007" w16cid:durableId="18E84770"/>
  <w16cid:commentId w16cid:paraId="4C18D14F" w16cid:durableId="2B81D11D"/>
  <w16cid:commentId w16cid:paraId="3168634F" w16cid:durableId="060E2DD6"/>
  <w16cid:commentId w16cid:paraId="201D6691" w16cid:durableId="49B6D830"/>
  <w16cid:commentId w16cid:paraId="26E38B22" w16cid:durableId="7699245D"/>
  <w16cid:commentId w16cid:paraId="7229E8A3" w16cid:durableId="1B72B633"/>
  <w16cid:commentId w16cid:paraId="7171924C" w16cid:durableId="110B417B"/>
  <w16cid:commentId w16cid:paraId="72B398F5" w16cid:durableId="3DF1EAA5"/>
  <w16cid:commentId w16cid:paraId="4189F3AB" w16cid:durableId="1E8802D5"/>
  <w16cid:commentId w16cid:paraId="595F6FB3" w16cid:durableId="19B237F1"/>
  <w16cid:commentId w16cid:paraId="430CED83" w16cid:durableId="66E50857"/>
  <w16cid:commentId w16cid:paraId="2CE0243E" w16cid:durableId="60E4D03F"/>
  <w16cid:commentId w16cid:paraId="071DB4E4" w16cid:durableId="2EDCA58A"/>
  <w16cid:commentId w16cid:paraId="16034CB8" w16cid:durableId="75B8017D"/>
  <w16cid:commentId w16cid:paraId="5ECDB649" w16cid:durableId="31E19828"/>
  <w16cid:commentId w16cid:paraId="3DAC449E" w16cid:durableId="4FAADD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2026-02-10T01:43:31.915Z</dcterms:created>
  <dcterms:modified xsi:type="dcterms:W3CDTF">2026-02-10T01:43:31.915Z</dcterms:modified>
</cp:coreProperties>
</file>

<file path=docProps/custom.xml><?xml version="1.0" encoding="utf-8"?>
<Properties xmlns="http://schemas.openxmlformats.org/officeDocument/2006/custom-properties" xmlns:vt="http://schemas.openxmlformats.org/officeDocument/2006/docPropsVTypes"/>
</file>